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38" w:rsidRDefault="009F5A78">
      <w:pPr>
        <w:spacing w:line="360" w:lineRule="auto"/>
        <w:jc w:val="center"/>
        <w:rPr>
          <w:rFonts w:ascii="楷体" w:eastAsia="楷体" w:hAnsi="楷体" w:cs="Times New Roman"/>
          <w:color w:val="000000"/>
          <w:sz w:val="24"/>
        </w:rPr>
      </w:pPr>
      <w:r>
        <w:rPr>
          <w:rFonts w:ascii="楷体" w:eastAsia="楷体" w:hAnsi="楷体" w:cs="宋体"/>
          <w:color w:val="000000"/>
          <w:sz w:val="24"/>
        </w:rPr>
        <w:t>证券代码：</w:t>
      </w:r>
      <w:r>
        <w:rPr>
          <w:rFonts w:ascii="楷体" w:eastAsia="楷体" w:hAnsi="楷体" w:cs="Times New Roman"/>
          <w:color w:val="000000"/>
          <w:sz w:val="24"/>
        </w:rPr>
        <w:t xml:space="preserve">000671      </w:t>
      </w:r>
      <w:r>
        <w:rPr>
          <w:rFonts w:ascii="楷体" w:eastAsia="楷体" w:hAnsi="楷体" w:cs="宋体"/>
          <w:color w:val="000000"/>
          <w:sz w:val="24"/>
        </w:rPr>
        <w:t>证券简称：阳光城</w:t>
      </w:r>
      <w:r w:rsidR="00C905BD">
        <w:rPr>
          <w:rFonts w:ascii="楷体" w:eastAsia="楷体" w:hAnsi="楷体" w:cs="宋体" w:hint="eastAsia"/>
          <w:color w:val="000000"/>
          <w:sz w:val="24"/>
        </w:rPr>
        <w:t xml:space="preserve">      </w:t>
      </w:r>
      <w:r>
        <w:rPr>
          <w:rFonts w:ascii="楷体" w:eastAsia="楷体" w:hAnsi="楷体" w:cs="宋体"/>
          <w:color w:val="000000"/>
          <w:sz w:val="24"/>
        </w:rPr>
        <w:t>公告编号：</w:t>
      </w:r>
      <w:r>
        <w:rPr>
          <w:rFonts w:ascii="楷体" w:eastAsia="楷体" w:hAnsi="楷体" w:cs="Times New Roman"/>
          <w:color w:val="000000"/>
          <w:sz w:val="24"/>
        </w:rPr>
        <w:t>2017-</w:t>
      </w:r>
      <w:r w:rsidR="00E430C7">
        <w:rPr>
          <w:rFonts w:ascii="楷体" w:eastAsia="楷体" w:hAnsi="楷体" w:cs="Times New Roman" w:hint="eastAsia"/>
          <w:color w:val="000000"/>
          <w:sz w:val="24"/>
        </w:rPr>
        <w:t>303</w:t>
      </w:r>
    </w:p>
    <w:p w:rsidR="00A44A38" w:rsidRDefault="00A44A38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jc w:val="center"/>
        <w:rPr>
          <w:rFonts w:ascii="黑体" w:eastAsia="黑体" w:hAnsi="黑体" w:cs="Times New Roman"/>
          <w:color w:val="000000"/>
          <w:sz w:val="32"/>
        </w:rPr>
      </w:pPr>
      <w:r>
        <w:rPr>
          <w:rFonts w:ascii="黑体" w:eastAsia="黑体" w:hAnsi="黑体" w:cs="宋体"/>
          <w:color w:val="000000"/>
          <w:sz w:val="32"/>
        </w:rPr>
        <w:t>阳光城集团股份有限公司</w:t>
      </w:r>
    </w:p>
    <w:p w:rsidR="00A44A38" w:rsidRDefault="009F5A7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黑体" w:eastAsia="黑体" w:hAnsi="黑体" w:cs="宋体"/>
          <w:color w:val="000000"/>
          <w:sz w:val="32"/>
        </w:rPr>
        <w:t>关于为参股子公司</w:t>
      </w:r>
      <w:bookmarkStart w:id="0" w:name="_Hlk496725831"/>
      <w:r>
        <w:rPr>
          <w:rFonts w:ascii="黑体" w:eastAsia="黑体" w:hAnsi="黑体" w:cs="宋体" w:hint="eastAsia"/>
          <w:color w:val="000000"/>
          <w:sz w:val="32"/>
        </w:rPr>
        <w:t>上海绍毅置业</w:t>
      </w:r>
      <w:bookmarkEnd w:id="0"/>
      <w:r>
        <w:rPr>
          <w:rFonts w:ascii="黑体" w:eastAsia="黑体" w:hAnsi="黑体" w:cs="宋体"/>
          <w:color w:val="000000"/>
          <w:sz w:val="32"/>
        </w:rPr>
        <w:t>提供担保的公告</w:t>
      </w:r>
    </w:p>
    <w:p w:rsidR="00A44A38" w:rsidRDefault="00A44A38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ind w:firstLineChars="200" w:firstLine="480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本公司及董事会全体成员保证信息披露的真实、准确、完整，没有虚假记载、误导性陈述或者重大遗漏。</w:t>
      </w:r>
    </w:p>
    <w:p w:rsidR="00A44A38" w:rsidRDefault="00A44A38">
      <w:pPr>
        <w:spacing w:line="360" w:lineRule="auto"/>
        <w:ind w:firstLineChars="300" w:firstLine="630"/>
        <w:rPr>
          <w:rFonts w:ascii="Times New Roman" w:eastAsia="Times New Roman" w:hAnsi="Times New Roman" w:cs="Times New Roman"/>
          <w:color w:val="000000"/>
        </w:rPr>
      </w:pPr>
    </w:p>
    <w:p w:rsidR="00A44A38" w:rsidRPr="00C905BD" w:rsidRDefault="009F5A78">
      <w:pPr>
        <w:spacing w:line="360" w:lineRule="auto"/>
        <w:ind w:firstLine="482"/>
        <w:rPr>
          <w:rFonts w:ascii="Times New Roman" w:eastAsia="Times New Roman" w:hAnsi="Times New Roman" w:cs="Times New Roman"/>
          <w:b/>
          <w:sz w:val="24"/>
        </w:rPr>
      </w:pPr>
      <w:r w:rsidRPr="00C905BD">
        <w:rPr>
          <w:rFonts w:ascii="宋体" w:eastAsia="宋体" w:hAnsi="宋体" w:cs="宋体"/>
          <w:b/>
          <w:sz w:val="24"/>
        </w:rPr>
        <w:t>一、担保情况概述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（一）担保情况</w:t>
      </w:r>
    </w:p>
    <w:p w:rsidR="00C905BD" w:rsidRPr="00C905BD" w:rsidRDefault="00C905BD" w:rsidP="00C905BD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阳光城集团股份有限公司（以下简称“公司”）合并持有</w:t>
      </w:r>
      <w:r w:rsidRPr="00C905BD">
        <w:rPr>
          <w:rFonts w:ascii="Times New Roman" w:eastAsia="Times New Roman" w:hAnsi="Times New Roman" w:cs="Times New Roman"/>
          <w:sz w:val="24"/>
        </w:rPr>
        <w:t>49%</w:t>
      </w:r>
      <w:r w:rsidRPr="00C905BD">
        <w:rPr>
          <w:rFonts w:ascii="宋体" w:eastAsia="宋体" w:hAnsi="宋体" w:cs="宋体"/>
          <w:sz w:val="24"/>
        </w:rPr>
        <w:t>权益的参股子公司</w:t>
      </w:r>
      <w:r w:rsidRPr="00C905BD">
        <w:rPr>
          <w:rFonts w:ascii="宋体" w:eastAsia="宋体" w:hAnsi="宋体" w:cs="宋体" w:hint="eastAsia"/>
          <w:sz w:val="24"/>
        </w:rPr>
        <w:t>上海绍毅置业有限公司（以下简称“上海绍毅置业”）的全资子公司温岭市中梁安置业有限公司（以下简称“中梁安置业”）</w:t>
      </w:r>
      <w:r w:rsidRPr="00C905BD">
        <w:rPr>
          <w:rFonts w:ascii="宋体" w:eastAsia="宋体" w:hAnsi="宋体" w:cs="宋体"/>
          <w:sz w:val="24"/>
        </w:rPr>
        <w:t>拟接受国投泰康信托</w:t>
      </w:r>
      <w:r w:rsidRPr="00C905BD">
        <w:rPr>
          <w:rFonts w:ascii="宋体" w:eastAsia="宋体" w:hAnsi="宋体" w:cs="宋体" w:hint="eastAsia"/>
          <w:sz w:val="24"/>
        </w:rPr>
        <w:t>有限公司</w:t>
      </w:r>
      <w:r w:rsidRPr="00C905BD">
        <w:rPr>
          <w:rFonts w:ascii="宋体" w:eastAsia="宋体" w:hAnsi="宋体" w:cs="宋体"/>
          <w:sz w:val="24"/>
        </w:rPr>
        <w:t>发起集合信托计划（以下简称“国投泰康信托”）募集资金不超过</w:t>
      </w:r>
      <w:r w:rsidRPr="00C905BD">
        <w:rPr>
          <w:rFonts w:ascii="宋体" w:eastAsia="宋体" w:hAnsi="宋体" w:cs="宋体" w:hint="eastAsia"/>
          <w:sz w:val="24"/>
        </w:rPr>
        <w:t>3</w:t>
      </w:r>
      <w:r w:rsidRPr="00C905BD">
        <w:rPr>
          <w:rFonts w:ascii="宋体" w:eastAsia="宋体" w:hAnsi="宋体" w:cs="宋体"/>
          <w:sz w:val="24"/>
        </w:rPr>
        <w:t>.3亿元</w:t>
      </w:r>
      <w:r w:rsidRPr="00C905BD">
        <w:rPr>
          <w:rFonts w:ascii="宋体" w:eastAsia="宋体" w:hAnsi="宋体" w:cs="宋体" w:hint="eastAsia"/>
          <w:sz w:val="24"/>
        </w:rPr>
        <w:t>对其进行股权投资</w:t>
      </w:r>
      <w:r w:rsidRPr="00C905BD">
        <w:rPr>
          <w:rFonts w:ascii="宋体" w:eastAsia="宋体" w:hAnsi="宋体" w:cs="宋体"/>
          <w:sz w:val="24"/>
        </w:rPr>
        <w:t>，期限2年，作为担保：公司为本次交易</w:t>
      </w:r>
      <w:r w:rsidRPr="00C905BD">
        <w:rPr>
          <w:rFonts w:ascii="宋体" w:eastAsia="宋体" w:hAnsi="宋体" w:cs="宋体" w:hint="eastAsia"/>
          <w:sz w:val="24"/>
        </w:rPr>
        <w:t>中上海绍毅置业在《保证合同》项下涉及的相关债务</w:t>
      </w:r>
      <w:r w:rsidRPr="00C905BD">
        <w:rPr>
          <w:rFonts w:ascii="宋体" w:eastAsia="宋体" w:hAnsi="宋体" w:cs="宋体"/>
          <w:sz w:val="24"/>
        </w:rPr>
        <w:t>提供连带责任保证担保，上海中梁地产集团有限公司（以下简称“</w:t>
      </w:r>
      <w:bookmarkStart w:id="1" w:name="_Hlk496726223"/>
      <w:r w:rsidRPr="00C905BD">
        <w:rPr>
          <w:rFonts w:ascii="宋体" w:eastAsia="宋体" w:hAnsi="宋体" w:cs="宋体"/>
          <w:sz w:val="24"/>
        </w:rPr>
        <w:t>上海中梁地产</w:t>
      </w:r>
      <w:bookmarkEnd w:id="1"/>
      <w:r w:rsidRPr="00C905BD">
        <w:rPr>
          <w:rFonts w:ascii="宋体" w:eastAsia="宋体" w:hAnsi="宋体" w:cs="宋体"/>
          <w:sz w:val="24"/>
        </w:rPr>
        <w:t>”，合并持有上海绍毅置业45</w:t>
      </w:r>
      <w:r w:rsidRPr="00C905BD">
        <w:rPr>
          <w:rFonts w:ascii="Times New Roman" w:eastAsia="Times New Roman" w:hAnsi="Times New Roman" w:cs="Times New Roman"/>
          <w:sz w:val="24"/>
        </w:rPr>
        <w:t>%</w:t>
      </w:r>
      <w:r w:rsidRPr="00C905BD">
        <w:rPr>
          <w:rFonts w:ascii="宋体" w:eastAsia="宋体" w:hAnsi="宋体" w:cs="宋体"/>
          <w:sz w:val="24"/>
        </w:rPr>
        <w:t>权益）为本次交易向公司提供</w:t>
      </w:r>
      <w:r w:rsidRPr="00C905BD">
        <w:rPr>
          <w:rFonts w:ascii="宋体" w:eastAsia="宋体" w:hAnsi="宋体" w:cs="宋体" w:hint="eastAsia"/>
          <w:sz w:val="24"/>
        </w:rPr>
        <w:t>1</w:t>
      </w:r>
      <w:r w:rsidRPr="00C905BD">
        <w:rPr>
          <w:rFonts w:ascii="宋体" w:eastAsia="宋体" w:hAnsi="宋体" w:cs="宋体"/>
          <w:sz w:val="24"/>
        </w:rPr>
        <w:t>.</w:t>
      </w:r>
      <w:r w:rsidRPr="00C905BD">
        <w:rPr>
          <w:rFonts w:ascii="宋体" w:eastAsia="宋体" w:hAnsi="宋体" w:cs="宋体" w:hint="eastAsia"/>
          <w:sz w:val="24"/>
        </w:rPr>
        <w:t>683</w:t>
      </w:r>
      <w:r w:rsidRPr="00C905BD">
        <w:rPr>
          <w:rFonts w:ascii="宋体" w:eastAsia="宋体" w:hAnsi="宋体" w:cs="宋体"/>
          <w:sz w:val="24"/>
        </w:rPr>
        <w:t>亿</w:t>
      </w:r>
      <w:r w:rsidRPr="00C905BD">
        <w:rPr>
          <w:rFonts w:ascii="宋体" w:eastAsia="宋体" w:hAnsi="宋体" w:cs="宋体" w:hint="eastAsia"/>
          <w:sz w:val="24"/>
        </w:rPr>
        <w:t>元</w:t>
      </w:r>
      <w:r w:rsidRPr="00C905BD">
        <w:rPr>
          <w:rFonts w:ascii="宋体" w:eastAsia="宋体" w:hAnsi="宋体" w:cs="宋体"/>
          <w:sz w:val="24"/>
        </w:rPr>
        <w:t>的反担保。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（二）担保审批情况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根据相关法律法规及公司章程的规定，上述担保事项已经公司第九届董事局第二十一次会议审议通过，尚需提交公司股东大会审议批准。</w:t>
      </w:r>
    </w:p>
    <w:p w:rsidR="00A44A38" w:rsidRPr="00C905BD" w:rsidRDefault="00A44A3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</w:p>
    <w:p w:rsidR="00A44A38" w:rsidRPr="00C905BD" w:rsidRDefault="009F5A78">
      <w:pPr>
        <w:spacing w:line="360" w:lineRule="auto"/>
        <w:ind w:firstLine="482"/>
        <w:rPr>
          <w:rFonts w:ascii="Times New Roman" w:eastAsia="Times New Roman" w:hAnsi="Times New Roman" w:cs="Times New Roman"/>
          <w:b/>
          <w:sz w:val="24"/>
        </w:rPr>
      </w:pPr>
      <w:r w:rsidRPr="00C905BD">
        <w:rPr>
          <w:rFonts w:ascii="宋体" w:eastAsia="宋体" w:hAnsi="宋体" w:cs="宋体"/>
          <w:b/>
          <w:sz w:val="24"/>
        </w:rPr>
        <w:t>二、被担保人基本情况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（一）公司名称：</w:t>
      </w:r>
      <w:r w:rsidRPr="00C905BD">
        <w:rPr>
          <w:rFonts w:ascii="宋体" w:eastAsia="宋体" w:hAnsi="宋体" w:cs="宋体" w:hint="eastAsia"/>
          <w:sz w:val="24"/>
        </w:rPr>
        <w:t>上海绍毅置业有限公司</w:t>
      </w:r>
      <w:r w:rsidRPr="00C905BD">
        <w:rPr>
          <w:rFonts w:ascii="宋体" w:eastAsia="宋体" w:hAnsi="宋体" w:cs="宋体"/>
          <w:sz w:val="24"/>
        </w:rPr>
        <w:t>；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（二）成立日期：</w:t>
      </w:r>
      <w:r w:rsidRPr="00C905BD">
        <w:rPr>
          <w:rFonts w:ascii="宋体" w:eastAsia="宋体" w:hAnsi="宋体" w:cs="宋体" w:hint="eastAsia"/>
          <w:sz w:val="24"/>
        </w:rPr>
        <w:t xml:space="preserve">2017年04月05日 </w:t>
      </w:r>
      <w:r w:rsidRPr="00C905BD">
        <w:rPr>
          <w:rFonts w:ascii="宋体" w:eastAsia="宋体" w:hAnsi="宋体" w:cs="宋体"/>
          <w:sz w:val="24"/>
        </w:rPr>
        <w:t>；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（三）注册资本：人民币</w:t>
      </w:r>
      <w:r w:rsidRPr="00C905BD">
        <w:rPr>
          <w:rFonts w:ascii="Times New Roman" w:eastAsia="Times New Roman" w:hAnsi="Times New Roman" w:cs="Times New Roman"/>
          <w:sz w:val="24"/>
        </w:rPr>
        <w:t>5,000</w:t>
      </w:r>
      <w:r w:rsidRPr="00C905BD">
        <w:rPr>
          <w:rFonts w:ascii="宋体" w:eastAsia="宋体" w:hAnsi="宋体" w:cs="宋体"/>
          <w:sz w:val="24"/>
        </w:rPr>
        <w:t>万元；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（四）注册地点：</w:t>
      </w:r>
      <w:r w:rsidRPr="00C905BD">
        <w:rPr>
          <w:rFonts w:ascii="宋体" w:eastAsia="宋体" w:hAnsi="宋体" w:cs="宋体" w:hint="eastAsia"/>
          <w:sz w:val="24"/>
        </w:rPr>
        <w:t>上海市普陀区真南路2528号1幢3层3850室</w:t>
      </w:r>
      <w:r w:rsidRPr="00C905BD">
        <w:rPr>
          <w:rFonts w:ascii="宋体" w:eastAsia="宋体" w:hAnsi="宋体" w:cs="宋体"/>
          <w:sz w:val="24"/>
        </w:rPr>
        <w:t>；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（五）主营业务：</w:t>
      </w:r>
      <w:r w:rsidRPr="00C905BD">
        <w:rPr>
          <w:rFonts w:ascii="宋体" w:eastAsia="宋体" w:hAnsi="宋体" w:cs="宋体" w:hint="eastAsia"/>
          <w:sz w:val="24"/>
        </w:rPr>
        <w:t>房地产开发经营，物业管理。【依法须经批准的项目，经相关部门批准后方可开展经营活动】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lastRenderedPageBreak/>
        <w:t>（六）股东情况：公司合并持有</w:t>
      </w:r>
      <w:r w:rsidRPr="00C905BD">
        <w:rPr>
          <w:rFonts w:ascii="Times New Roman" w:eastAsia="Times New Roman" w:hAnsi="Times New Roman" w:cs="Times New Roman"/>
          <w:sz w:val="24"/>
        </w:rPr>
        <w:t>100%</w:t>
      </w:r>
      <w:r w:rsidRPr="00C905BD">
        <w:rPr>
          <w:rFonts w:ascii="宋体" w:eastAsia="宋体" w:hAnsi="宋体" w:cs="宋体"/>
          <w:sz w:val="24"/>
        </w:rPr>
        <w:t>权益子公司杭州臻博房地产开发有限公司持有上海绍毅置业</w:t>
      </w:r>
      <w:r w:rsidRPr="00C905BD">
        <w:rPr>
          <w:rFonts w:ascii="Times New Roman" w:eastAsia="Times New Roman" w:hAnsi="Times New Roman" w:cs="Times New Roman"/>
          <w:sz w:val="24"/>
        </w:rPr>
        <w:t>49%</w:t>
      </w:r>
      <w:r w:rsidRPr="00C905BD">
        <w:rPr>
          <w:rFonts w:ascii="宋体" w:eastAsia="宋体" w:hAnsi="宋体" w:cs="宋体"/>
          <w:sz w:val="24"/>
        </w:rPr>
        <w:t>股权</w:t>
      </w:r>
      <w:r w:rsidRPr="00C905BD">
        <w:rPr>
          <w:rFonts w:ascii="宋体" w:eastAsia="宋体" w:hAnsi="宋体" w:cs="宋体" w:hint="eastAsia"/>
          <w:sz w:val="24"/>
        </w:rPr>
        <w:t>；上海中梁地产</w:t>
      </w:r>
      <w:r w:rsidRPr="00C905BD">
        <w:rPr>
          <w:rFonts w:ascii="宋体" w:eastAsia="宋体" w:hAnsi="宋体" w:cs="宋体"/>
          <w:sz w:val="24"/>
        </w:rPr>
        <w:t>合并持有</w:t>
      </w:r>
      <w:r w:rsidRPr="00C905BD">
        <w:rPr>
          <w:rFonts w:ascii="Times New Roman" w:eastAsia="Times New Roman" w:hAnsi="Times New Roman" w:cs="Times New Roman"/>
          <w:sz w:val="24"/>
        </w:rPr>
        <w:t>100%</w:t>
      </w:r>
      <w:r w:rsidRPr="00C905BD">
        <w:rPr>
          <w:rFonts w:ascii="宋体" w:eastAsia="宋体" w:hAnsi="宋体" w:cs="宋体"/>
          <w:sz w:val="24"/>
        </w:rPr>
        <w:t>权益子公司</w:t>
      </w:r>
      <w:r w:rsidRPr="00C905BD">
        <w:rPr>
          <w:rFonts w:ascii="宋体" w:eastAsia="宋体" w:hAnsi="宋体" w:cs="宋体" w:hint="eastAsia"/>
          <w:sz w:val="24"/>
        </w:rPr>
        <w:t>杭州中梁汇置业有限公司</w:t>
      </w:r>
      <w:r w:rsidRPr="00C905BD">
        <w:rPr>
          <w:rFonts w:ascii="宋体" w:eastAsia="宋体" w:hAnsi="宋体" w:cs="宋体"/>
          <w:sz w:val="24"/>
        </w:rPr>
        <w:t>持有上海绍毅置业</w:t>
      </w:r>
      <w:r w:rsidRPr="00C905BD">
        <w:rPr>
          <w:rFonts w:ascii="宋体" w:eastAsia="宋体" w:hAnsi="宋体" w:cs="宋体" w:hint="eastAsia"/>
          <w:sz w:val="24"/>
        </w:rPr>
        <w:t>45%股权；萍乡亿佰贸易有限公司</w:t>
      </w:r>
      <w:r w:rsidRPr="00C905BD">
        <w:rPr>
          <w:rFonts w:ascii="宋体" w:eastAsia="宋体" w:hAnsi="宋体" w:cs="宋体"/>
          <w:sz w:val="24"/>
        </w:rPr>
        <w:t>持有上海绍毅置业</w:t>
      </w:r>
      <w:r w:rsidRPr="00C905BD">
        <w:rPr>
          <w:rFonts w:ascii="宋体" w:eastAsia="宋体" w:hAnsi="宋体" w:cs="宋体" w:hint="eastAsia"/>
          <w:sz w:val="24"/>
        </w:rPr>
        <w:t>6%股权。</w:t>
      </w:r>
    </w:p>
    <w:p w:rsidR="00A44A38" w:rsidRPr="00C905BD" w:rsidRDefault="009F5A78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 w:rsidRPr="00C905BD">
        <w:rPr>
          <w:rFonts w:ascii="宋体" w:eastAsia="宋体" w:hAnsi="宋体" w:cs="宋体"/>
          <w:sz w:val="24"/>
        </w:rPr>
        <w:t>（七）最近一期财务数据（单位：万元）</w:t>
      </w:r>
    </w:p>
    <w:tbl>
      <w:tblPr>
        <w:tblW w:w="8897" w:type="dxa"/>
        <w:jc w:val="center"/>
        <w:tblLayout w:type="fixed"/>
        <w:tblLook w:val="04A0"/>
      </w:tblPr>
      <w:tblGrid>
        <w:gridCol w:w="4479"/>
        <w:gridCol w:w="4418"/>
      </w:tblGrid>
      <w:tr w:rsidR="00A44A38" w:rsidRPr="00C905BD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A44A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>
            <w:pPr>
              <w:jc w:val="center"/>
              <w:rPr>
                <w:szCs w:val="21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szCs w:val="21"/>
              </w:rPr>
              <w:t>2017</w:t>
            </w:r>
            <w:r w:rsidRPr="00C905BD">
              <w:rPr>
                <w:rFonts w:ascii="宋体" w:eastAsia="宋体" w:hAnsi="宋体" w:cs="宋体"/>
                <w:b/>
                <w:szCs w:val="21"/>
              </w:rPr>
              <w:t>年</w:t>
            </w:r>
            <w:r w:rsidRPr="00C905BD">
              <w:rPr>
                <w:rFonts w:ascii="Times New Roman" w:eastAsia="Times New Roman" w:hAnsi="Times New Roman" w:cs="Times New Roman"/>
                <w:b/>
                <w:szCs w:val="21"/>
              </w:rPr>
              <w:t>9</w:t>
            </w:r>
            <w:r w:rsidRPr="00C905BD">
              <w:rPr>
                <w:rFonts w:ascii="宋体" w:eastAsia="宋体" w:hAnsi="宋体" w:cs="宋体"/>
                <w:b/>
                <w:szCs w:val="21"/>
              </w:rPr>
              <w:t>月</w:t>
            </w:r>
            <w:r w:rsidRPr="00C905BD">
              <w:rPr>
                <w:rFonts w:ascii="Times New Roman" w:eastAsia="Times New Roman" w:hAnsi="Times New Roman" w:cs="Times New Roman"/>
                <w:b/>
                <w:szCs w:val="21"/>
              </w:rPr>
              <w:t>30</w:t>
            </w:r>
            <w:r w:rsidRPr="00C905BD">
              <w:rPr>
                <w:rFonts w:ascii="宋体" w:eastAsia="宋体" w:hAnsi="宋体" w:cs="宋体"/>
                <w:b/>
                <w:szCs w:val="21"/>
              </w:rPr>
              <w:t>日（未经审计）</w:t>
            </w:r>
          </w:p>
        </w:tc>
      </w:tr>
      <w:tr w:rsidR="00A44A38" w:rsidRPr="00C905BD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资产总额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 w:rsidP="00D03D6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0.39</w:t>
            </w:r>
          </w:p>
        </w:tc>
      </w:tr>
      <w:tr w:rsidR="00A44A38" w:rsidRPr="00C905BD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负债总额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 w:rsidP="00D03D6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1</w:t>
            </w:r>
            <w:r w:rsidR="00D03D6C" w:rsidRPr="00C905BD">
              <w:rPr>
                <w:rFonts w:ascii="宋体" w:eastAsia="宋体" w:hAnsi="宋体" w:cs="宋体" w:hint="eastAsia"/>
                <w:szCs w:val="21"/>
              </w:rPr>
              <w:t>.00</w:t>
            </w:r>
          </w:p>
        </w:tc>
      </w:tr>
      <w:tr w:rsidR="00A44A38" w:rsidRPr="00C905BD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净资产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 w:rsidP="00D03D6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-0.61</w:t>
            </w:r>
            <w:bookmarkStart w:id="2" w:name="_GoBack"/>
            <w:bookmarkEnd w:id="2"/>
          </w:p>
        </w:tc>
      </w:tr>
      <w:tr w:rsidR="00A44A38" w:rsidRPr="00C905BD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A44A3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>
            <w:pPr>
              <w:jc w:val="center"/>
              <w:rPr>
                <w:szCs w:val="21"/>
              </w:rPr>
            </w:pPr>
            <w:r w:rsidRPr="00C905BD">
              <w:rPr>
                <w:rFonts w:ascii="Times New Roman" w:eastAsia="Times New Roman" w:hAnsi="Times New Roman" w:cs="Times New Roman"/>
                <w:b/>
                <w:szCs w:val="21"/>
              </w:rPr>
              <w:t>2017</w:t>
            </w:r>
            <w:r w:rsidRPr="00C905BD">
              <w:rPr>
                <w:rFonts w:ascii="宋体" w:eastAsia="宋体" w:hAnsi="宋体" w:cs="宋体"/>
                <w:b/>
                <w:szCs w:val="21"/>
              </w:rPr>
              <w:t>年</w:t>
            </w:r>
            <w:r w:rsidRPr="00C905BD">
              <w:rPr>
                <w:rFonts w:ascii="Times New Roman" w:eastAsia="Times New Roman" w:hAnsi="Times New Roman" w:cs="Times New Roman"/>
                <w:b/>
                <w:szCs w:val="21"/>
              </w:rPr>
              <w:t>1-9</w:t>
            </w:r>
            <w:r w:rsidRPr="00C905BD">
              <w:rPr>
                <w:rFonts w:ascii="宋体" w:eastAsia="宋体" w:hAnsi="宋体" w:cs="宋体"/>
                <w:b/>
                <w:szCs w:val="21"/>
              </w:rPr>
              <w:t>月</w:t>
            </w:r>
          </w:p>
        </w:tc>
      </w:tr>
      <w:tr w:rsidR="00A44A38" w:rsidRPr="00C905BD">
        <w:trPr>
          <w:trHeight w:val="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营业收入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 w:rsidP="00D03D6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0</w:t>
            </w:r>
          </w:p>
        </w:tc>
      </w:tr>
      <w:tr w:rsidR="00A44A38" w:rsidRPr="00C905B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净利润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4A38" w:rsidRPr="00C905BD" w:rsidRDefault="009F5A78" w:rsidP="00D03D6C">
            <w:pPr>
              <w:jc w:val="right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-0.6</w:t>
            </w:r>
          </w:p>
        </w:tc>
      </w:tr>
    </w:tbl>
    <w:p w:rsidR="00A44A38" w:rsidRPr="009B7A10" w:rsidRDefault="00C905BD">
      <w:pPr>
        <w:spacing w:line="360" w:lineRule="auto"/>
        <w:ind w:firstLine="480"/>
        <w:rPr>
          <w:rFonts w:ascii="楷体" w:eastAsia="楷体" w:hAnsi="楷体" w:cs="楷体_GB2312"/>
          <w:szCs w:val="21"/>
        </w:rPr>
      </w:pPr>
      <w:r w:rsidRPr="009B7A10">
        <w:rPr>
          <w:rFonts w:ascii="楷体" w:eastAsia="楷体" w:hAnsi="楷体" w:cs="宋体" w:hint="eastAsia"/>
          <w:szCs w:val="21"/>
        </w:rPr>
        <w:t>注：上海</w:t>
      </w:r>
      <w:r w:rsidR="009F5A78" w:rsidRPr="009B7A10">
        <w:rPr>
          <w:rFonts w:ascii="楷体" w:eastAsia="楷体" w:hAnsi="楷体" w:cs="宋体" w:hint="eastAsia"/>
          <w:szCs w:val="21"/>
        </w:rPr>
        <w:t>绍毅置业于</w:t>
      </w:r>
      <w:r w:rsidR="009F5A78" w:rsidRPr="009B7A10">
        <w:rPr>
          <w:rFonts w:ascii="楷体" w:eastAsia="楷体" w:hAnsi="楷体" w:cs="Times New Roman"/>
          <w:szCs w:val="21"/>
        </w:rPr>
        <w:t>2017</w:t>
      </w:r>
      <w:r w:rsidR="009F5A78" w:rsidRPr="009B7A10">
        <w:rPr>
          <w:rFonts w:ascii="楷体" w:eastAsia="楷体" w:hAnsi="楷体" w:cs="宋体"/>
          <w:szCs w:val="21"/>
        </w:rPr>
        <w:t>年</w:t>
      </w:r>
      <w:r w:rsidR="009F5A78" w:rsidRPr="009B7A10">
        <w:rPr>
          <w:rFonts w:ascii="楷体" w:eastAsia="楷体" w:hAnsi="楷体" w:cs="Times New Roman"/>
          <w:szCs w:val="21"/>
        </w:rPr>
        <w:t>0</w:t>
      </w:r>
      <w:r w:rsidR="009F5A78" w:rsidRPr="009B7A10">
        <w:rPr>
          <w:rFonts w:ascii="楷体" w:eastAsia="楷体" w:hAnsi="楷体" w:cs="Times New Roman" w:hint="eastAsia"/>
          <w:szCs w:val="21"/>
        </w:rPr>
        <w:t>4</w:t>
      </w:r>
      <w:r w:rsidR="009F5A78" w:rsidRPr="009B7A10">
        <w:rPr>
          <w:rFonts w:ascii="楷体" w:eastAsia="楷体" w:hAnsi="楷体" w:cs="宋体"/>
          <w:szCs w:val="21"/>
        </w:rPr>
        <w:t>月</w:t>
      </w:r>
      <w:r w:rsidR="009F5A78" w:rsidRPr="009B7A10">
        <w:rPr>
          <w:rFonts w:ascii="楷体" w:eastAsia="楷体" w:hAnsi="楷体" w:cs="Times New Roman" w:hint="eastAsia"/>
          <w:szCs w:val="21"/>
        </w:rPr>
        <w:t>05</w:t>
      </w:r>
      <w:r w:rsidR="009F5A78" w:rsidRPr="009B7A10">
        <w:rPr>
          <w:rFonts w:ascii="楷体" w:eastAsia="楷体" w:hAnsi="楷体" w:cs="宋体"/>
          <w:szCs w:val="21"/>
        </w:rPr>
        <w:t>日</w:t>
      </w:r>
      <w:r w:rsidR="009F5A78" w:rsidRPr="009B7A10">
        <w:rPr>
          <w:rFonts w:ascii="楷体" w:eastAsia="楷体" w:hAnsi="楷体" w:cs="宋体" w:hint="eastAsia"/>
          <w:szCs w:val="21"/>
        </w:rPr>
        <w:t>成立，故无2016年财务数据。</w:t>
      </w:r>
    </w:p>
    <w:p w:rsidR="00A44A38" w:rsidRPr="00C905BD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（八）项目概况</w:t>
      </w:r>
    </w:p>
    <w:tbl>
      <w:tblPr>
        <w:tblW w:w="8847" w:type="dxa"/>
        <w:jc w:val="center"/>
        <w:tblInd w:w="117" w:type="dxa"/>
        <w:tblLayout w:type="fixed"/>
        <w:tblLook w:val="04A0"/>
      </w:tblPr>
      <w:tblGrid>
        <w:gridCol w:w="1619"/>
        <w:gridCol w:w="1275"/>
        <w:gridCol w:w="1276"/>
        <w:gridCol w:w="933"/>
        <w:gridCol w:w="1276"/>
        <w:gridCol w:w="2468"/>
      </w:tblGrid>
      <w:tr w:rsidR="00A44A38" w:rsidRPr="00C905BD">
        <w:trPr>
          <w:trHeight w:val="1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项目土地证号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项目位置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土地面积</w:t>
            </w:r>
          </w:p>
          <w:p w:rsidR="00A44A38" w:rsidRPr="00C905BD" w:rsidRDefault="009F5A78">
            <w:pPr>
              <w:jc w:val="center"/>
              <w:rPr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（平方米）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容积率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土地用途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/>
                <w:b/>
                <w:szCs w:val="21"/>
              </w:rPr>
              <w:t>使用年限</w:t>
            </w:r>
          </w:p>
        </w:tc>
      </w:tr>
      <w:tr w:rsidR="00A44A38" w:rsidRPr="00C905BD">
        <w:trPr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浙（2017）温岭市不动产权第0023132号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城东街道河边村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20633.00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商业用地</w:t>
            </w:r>
          </w:p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住宅用地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A44A38" w:rsidRPr="00C905BD" w:rsidRDefault="009F5A7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905BD">
              <w:rPr>
                <w:rFonts w:ascii="宋体" w:eastAsia="宋体" w:hAnsi="宋体" w:cs="宋体" w:hint="eastAsia"/>
                <w:szCs w:val="21"/>
              </w:rPr>
              <w:t>商业用地至2057年08月29日止；住宅用地至2087年08月29日止；</w:t>
            </w:r>
          </w:p>
        </w:tc>
      </w:tr>
    </w:tbl>
    <w:p w:rsidR="00A44A38" w:rsidRPr="00C905BD" w:rsidRDefault="00A44A38">
      <w:pPr>
        <w:spacing w:line="360" w:lineRule="auto"/>
        <w:ind w:firstLine="472"/>
        <w:rPr>
          <w:rFonts w:ascii="Times New Roman" w:eastAsia="Times New Roman" w:hAnsi="Times New Roman" w:cs="Times New Roman"/>
          <w:b/>
          <w:sz w:val="24"/>
        </w:rPr>
      </w:pPr>
    </w:p>
    <w:p w:rsidR="00A44A38" w:rsidRPr="00C905BD" w:rsidRDefault="009F5A78">
      <w:pPr>
        <w:spacing w:line="360" w:lineRule="auto"/>
        <w:ind w:firstLine="472"/>
        <w:rPr>
          <w:rFonts w:ascii="Times New Roman" w:eastAsia="Times New Roman" w:hAnsi="Times New Roman" w:cs="Times New Roman"/>
          <w:b/>
          <w:sz w:val="24"/>
        </w:rPr>
      </w:pPr>
      <w:r w:rsidRPr="00C905BD">
        <w:rPr>
          <w:rFonts w:ascii="宋体" w:eastAsia="宋体" w:hAnsi="宋体" w:cs="宋体"/>
          <w:b/>
          <w:sz w:val="24"/>
        </w:rPr>
        <w:t>三、本次交易拟签署协议的主要内容</w:t>
      </w:r>
    </w:p>
    <w:p w:rsidR="00C905BD" w:rsidRPr="00C905BD" w:rsidRDefault="00C905BD" w:rsidP="00C905BD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 w:rsidRPr="00C905BD">
        <w:rPr>
          <w:rFonts w:ascii="宋体" w:eastAsia="宋体" w:hAnsi="宋体" w:cs="宋体"/>
          <w:sz w:val="24"/>
        </w:rPr>
        <w:t>公司合并持有</w:t>
      </w:r>
      <w:r w:rsidRPr="00C905BD">
        <w:rPr>
          <w:rFonts w:ascii="Times New Roman" w:eastAsia="Times New Roman" w:hAnsi="Times New Roman" w:cs="Times New Roman"/>
          <w:sz w:val="24"/>
        </w:rPr>
        <w:t>49%</w:t>
      </w:r>
      <w:r w:rsidRPr="00C905BD">
        <w:rPr>
          <w:rFonts w:ascii="宋体" w:eastAsia="宋体" w:hAnsi="宋体" w:cs="宋体"/>
          <w:sz w:val="24"/>
        </w:rPr>
        <w:t>权益的参股子公司</w:t>
      </w:r>
      <w:r w:rsidRPr="00C905BD">
        <w:rPr>
          <w:rFonts w:ascii="宋体" w:eastAsia="宋体" w:hAnsi="宋体" w:cs="宋体" w:hint="eastAsia"/>
          <w:sz w:val="24"/>
        </w:rPr>
        <w:t>上海绍毅置业的全资子公司中梁安置业</w:t>
      </w:r>
      <w:r w:rsidRPr="00C905BD">
        <w:rPr>
          <w:rFonts w:ascii="宋体" w:eastAsia="宋体" w:hAnsi="宋体" w:cs="宋体"/>
          <w:sz w:val="24"/>
        </w:rPr>
        <w:t>拟接受国投泰康信托募集资金不超过</w:t>
      </w:r>
      <w:r w:rsidRPr="00C905BD">
        <w:rPr>
          <w:rFonts w:ascii="宋体" w:eastAsia="宋体" w:hAnsi="宋体" w:cs="宋体" w:hint="eastAsia"/>
          <w:sz w:val="24"/>
        </w:rPr>
        <w:t>3</w:t>
      </w:r>
      <w:r w:rsidRPr="00C905BD">
        <w:rPr>
          <w:rFonts w:ascii="宋体" w:eastAsia="宋体" w:hAnsi="宋体" w:cs="宋体"/>
          <w:sz w:val="24"/>
        </w:rPr>
        <w:t>.3亿元</w:t>
      </w:r>
      <w:r w:rsidRPr="00C905BD">
        <w:rPr>
          <w:rFonts w:ascii="宋体" w:eastAsia="宋体" w:hAnsi="宋体" w:cs="宋体" w:hint="eastAsia"/>
          <w:sz w:val="24"/>
        </w:rPr>
        <w:t>对其进行股权投资</w:t>
      </w:r>
      <w:r w:rsidRPr="00C905BD">
        <w:rPr>
          <w:rFonts w:ascii="宋体" w:eastAsia="宋体" w:hAnsi="宋体" w:cs="宋体"/>
          <w:sz w:val="24"/>
        </w:rPr>
        <w:t>，期限2年，作为担保：公司为本次交易</w:t>
      </w:r>
      <w:r w:rsidRPr="00C905BD">
        <w:rPr>
          <w:rFonts w:ascii="宋体" w:eastAsia="宋体" w:hAnsi="宋体" w:cs="宋体" w:hint="eastAsia"/>
          <w:sz w:val="24"/>
        </w:rPr>
        <w:t>中上海绍毅置业在《保证合同》项下涉及的相关债务</w:t>
      </w:r>
      <w:r w:rsidRPr="00C905BD">
        <w:rPr>
          <w:rFonts w:ascii="宋体" w:eastAsia="宋体" w:hAnsi="宋体" w:cs="宋体"/>
          <w:sz w:val="24"/>
        </w:rPr>
        <w:t>提供连带责任保证担保，上海中梁地产为本次交易向公司提供</w:t>
      </w:r>
      <w:r w:rsidRPr="00C905BD">
        <w:rPr>
          <w:rFonts w:ascii="宋体" w:eastAsia="宋体" w:hAnsi="宋体" w:cs="宋体" w:hint="eastAsia"/>
          <w:sz w:val="24"/>
        </w:rPr>
        <w:t>1</w:t>
      </w:r>
      <w:r w:rsidRPr="00C905BD">
        <w:rPr>
          <w:rFonts w:ascii="宋体" w:eastAsia="宋体" w:hAnsi="宋体" w:cs="宋体"/>
          <w:sz w:val="24"/>
        </w:rPr>
        <w:t>.</w:t>
      </w:r>
      <w:r w:rsidRPr="00C905BD">
        <w:rPr>
          <w:rFonts w:ascii="宋体" w:eastAsia="宋体" w:hAnsi="宋体" w:cs="宋体" w:hint="eastAsia"/>
          <w:sz w:val="24"/>
        </w:rPr>
        <w:t>683</w:t>
      </w:r>
      <w:r w:rsidRPr="00C905BD">
        <w:rPr>
          <w:rFonts w:ascii="宋体" w:eastAsia="宋体" w:hAnsi="宋体" w:cs="宋体"/>
          <w:sz w:val="24"/>
        </w:rPr>
        <w:t>亿</w:t>
      </w:r>
      <w:r w:rsidRPr="00C905BD">
        <w:rPr>
          <w:rFonts w:ascii="宋体" w:eastAsia="宋体" w:hAnsi="宋体" w:cs="宋体" w:hint="eastAsia"/>
          <w:sz w:val="24"/>
        </w:rPr>
        <w:t>元</w:t>
      </w:r>
      <w:r w:rsidRPr="00C905BD">
        <w:rPr>
          <w:rFonts w:ascii="宋体" w:eastAsia="宋体" w:hAnsi="宋体" w:cs="宋体"/>
          <w:sz w:val="24"/>
        </w:rPr>
        <w:t>的反担保。</w:t>
      </w:r>
    </w:p>
    <w:p w:rsidR="00A44A38" w:rsidRDefault="009F5A78">
      <w:pPr>
        <w:spacing w:line="360" w:lineRule="auto"/>
        <w:ind w:firstLine="470"/>
        <w:rPr>
          <w:rFonts w:ascii="Times New Roman" w:eastAsia="Times New Roman" w:hAnsi="Times New Roman" w:cs="Times New Roman"/>
          <w:color w:val="000000"/>
          <w:sz w:val="24"/>
        </w:rPr>
      </w:pPr>
      <w:r w:rsidRPr="00C905BD">
        <w:rPr>
          <w:rFonts w:ascii="宋体" w:eastAsia="宋体" w:hAnsi="宋体" w:cs="宋体"/>
          <w:sz w:val="24"/>
        </w:rPr>
        <w:t>保证范围为主债权</w:t>
      </w:r>
      <w:r w:rsidRPr="00C905BD">
        <w:rPr>
          <w:rFonts w:ascii="宋体" w:eastAsia="宋体" w:hAnsi="宋体" w:cs="宋体" w:hint="eastAsia"/>
          <w:sz w:val="24"/>
        </w:rPr>
        <w:t>及由此产生的一切违约金、损害赔偿金、手续费及其他为履行担保合同而发生的合理费用、债权人实现担保权利和债权所产生的合理费用（包括但不限于处置费用、税费、诉讼费用、拍卖费、合理的律师</w:t>
      </w:r>
      <w:r>
        <w:rPr>
          <w:rFonts w:ascii="宋体" w:eastAsia="宋体" w:hAnsi="宋体" w:cs="宋体" w:hint="eastAsia"/>
          <w:color w:val="000000"/>
          <w:sz w:val="24"/>
        </w:rPr>
        <w:t>费及差旅费）</w:t>
      </w:r>
      <w:r>
        <w:rPr>
          <w:rFonts w:ascii="宋体" w:eastAsia="宋体" w:hAnsi="宋体" w:cs="宋体"/>
          <w:color w:val="000000"/>
          <w:sz w:val="24"/>
        </w:rPr>
        <w:t>。保证合同期限为自主合同项下的债务履行期限届满之日起两年。</w:t>
      </w:r>
    </w:p>
    <w:p w:rsidR="00A44A38" w:rsidRDefault="009F5A78">
      <w:pPr>
        <w:spacing w:line="360" w:lineRule="auto"/>
        <w:ind w:firstLine="4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具体条款以各方签署合同为准。</w:t>
      </w:r>
    </w:p>
    <w:p w:rsidR="00A44A38" w:rsidRDefault="00A44A38">
      <w:pPr>
        <w:spacing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ind w:firstLine="47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四、董事会意见</w:t>
      </w:r>
    </w:p>
    <w:p w:rsidR="00A44A38" w:rsidRDefault="009F5A78">
      <w:pPr>
        <w:spacing w:line="360" w:lineRule="auto"/>
        <w:ind w:firstLine="47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本次交易旨在增强上海绍毅置业的资金配套能力，有利于推进参股公司的项目建设，进一步提高其经济效益，符合公司和全体股东的利益。且上海绍毅置业系公司参股子公司，股东分别提供连带责任保证担保及反担保，系正常履行股东义务。</w:t>
      </w:r>
      <w:r>
        <w:rPr>
          <w:rFonts w:ascii="宋体" w:eastAsia="宋体" w:hAnsi="宋体" w:cs="宋体"/>
          <w:color w:val="000000"/>
          <w:sz w:val="24"/>
        </w:rPr>
        <w:lastRenderedPageBreak/>
        <w:t>上海绍毅置业目前经营状况良好，具有偿还债务的能力，故本次公司为参股公司提供担保风险较小，不会损害公司及中小股东利益。</w:t>
      </w:r>
    </w:p>
    <w:p w:rsidR="00A44A38" w:rsidRDefault="00A44A38">
      <w:pPr>
        <w:spacing w:line="360" w:lineRule="auto"/>
        <w:ind w:firstLine="470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ind w:firstLine="472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五、独立董事意见</w:t>
      </w:r>
    </w:p>
    <w:p w:rsidR="00A44A38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公司独立董事认为：上海绍毅置业为公司参股子公司，上海绍毅置业的股东分别提供连带责任保证担保及反担保，有助于增强该公司的资金配套能力，进一步提高其经济效益，符合公司整体利益，风险较小。该项担保事项的内容及决策程序符合《深圳证券交易所股票上市规则》、《深圳证券交易所主板上市公司规范运作指引》等有关法律、法规、规范性文件以及《公司章程》的规定，不存在损害社会公众股东合法权益的情形，同意公司为参股子公司上海绍毅置业提供担保。</w:t>
      </w:r>
    </w:p>
    <w:p w:rsidR="00A44A38" w:rsidRDefault="00A44A38">
      <w:pPr>
        <w:spacing w:line="360" w:lineRule="auto"/>
        <w:ind w:firstLine="470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ind w:firstLine="47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六、累计对外担保金额及逾期担保的金额</w:t>
      </w:r>
    </w:p>
    <w:p w:rsidR="00A44A38" w:rsidRDefault="009F5A78">
      <w:pPr>
        <w:spacing w:line="360" w:lineRule="auto"/>
        <w:ind w:firstLine="472"/>
        <w:rPr>
          <w:rFonts w:ascii="宋体" w:eastAsia="宋体" w:hAnsi="宋体"/>
          <w:color w:val="000000" w:themeColor="text1"/>
          <w:sz w:val="24"/>
        </w:rPr>
      </w:pPr>
      <w:r>
        <w:rPr>
          <w:rFonts w:ascii="宋体" w:eastAsia="宋体" w:hAnsi="宋体" w:cs="宋体"/>
          <w:color w:val="000000"/>
          <w:sz w:val="24"/>
        </w:rPr>
        <w:t>截至本公告披露日，</w:t>
      </w:r>
      <w:r>
        <w:rPr>
          <w:rFonts w:ascii="宋体" w:eastAsia="宋体" w:hAnsi="宋体"/>
          <w:color w:val="000000" w:themeColor="text1"/>
          <w:sz w:val="24"/>
        </w:rPr>
        <w:t>包含公司第九届董事局第</w:t>
      </w:r>
      <w:r>
        <w:rPr>
          <w:rFonts w:ascii="宋体" w:eastAsia="宋体" w:hAnsi="宋体" w:hint="eastAsia"/>
          <w:color w:val="000000" w:themeColor="text1"/>
          <w:sz w:val="24"/>
        </w:rPr>
        <w:t>二十一</w:t>
      </w:r>
      <w:r>
        <w:rPr>
          <w:rFonts w:ascii="宋体" w:eastAsia="宋体" w:hAnsi="宋体"/>
          <w:color w:val="000000" w:themeColor="text1"/>
          <w:sz w:val="24"/>
        </w:rPr>
        <w:t>次会议审议通过的担保事项，公司累计对外担保额度</w:t>
      </w:r>
      <w:r>
        <w:rPr>
          <w:rFonts w:ascii="宋体" w:eastAsia="宋体" w:hAnsi="宋体" w:hint="eastAsia"/>
          <w:color w:val="000000" w:themeColor="text1"/>
          <w:sz w:val="24"/>
        </w:rPr>
        <w:t>1290.39</w:t>
      </w:r>
      <w:r>
        <w:rPr>
          <w:rFonts w:ascii="宋体" w:eastAsia="宋体" w:hAnsi="宋体"/>
          <w:color w:val="000000" w:themeColor="text1"/>
          <w:sz w:val="24"/>
        </w:rPr>
        <w:t>亿元，除为公司为全资及控股子公司提供的担保额度外，公司对外担保金额</w:t>
      </w:r>
      <w:r>
        <w:rPr>
          <w:rFonts w:ascii="宋体" w:eastAsia="宋体" w:hAnsi="宋体" w:hint="eastAsia"/>
          <w:color w:val="000000" w:themeColor="text1"/>
          <w:sz w:val="24"/>
        </w:rPr>
        <w:t>52.48</w:t>
      </w:r>
      <w:r>
        <w:rPr>
          <w:rFonts w:ascii="宋体" w:eastAsia="宋体" w:hAnsi="宋体"/>
          <w:color w:val="000000" w:themeColor="text1"/>
          <w:sz w:val="24"/>
        </w:rPr>
        <w:t>亿元，公司及控股子公司不存在逾期担保、涉及诉讼担保的情况。</w:t>
      </w:r>
    </w:p>
    <w:p w:rsidR="00A44A38" w:rsidRDefault="00A44A38">
      <w:pPr>
        <w:spacing w:line="360" w:lineRule="auto"/>
        <w:ind w:firstLine="470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ind w:firstLine="48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七、备查文件</w:t>
      </w:r>
    </w:p>
    <w:p w:rsidR="00A44A38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（一）公司第九届董事局第二十一次会议决议；</w:t>
      </w:r>
    </w:p>
    <w:p w:rsidR="00A44A38" w:rsidRDefault="009F5A78">
      <w:pPr>
        <w:spacing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（二）公司本次交易的相关协议草案。</w:t>
      </w:r>
    </w:p>
    <w:p w:rsidR="00A44A38" w:rsidRDefault="00A44A38">
      <w:pPr>
        <w:spacing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/>
          <w:color w:val="000000"/>
          <w:sz w:val="24"/>
        </w:rPr>
        <w:t>特此公告。</w:t>
      </w:r>
    </w:p>
    <w:p w:rsidR="00A44A38" w:rsidRDefault="00A44A38">
      <w:pPr>
        <w:spacing w:line="360" w:lineRule="auto"/>
        <w:ind w:firstLine="480"/>
        <w:rPr>
          <w:rFonts w:ascii="宋体" w:eastAsia="宋体" w:hAnsi="宋体" w:cs="宋体"/>
          <w:color w:val="000000"/>
          <w:sz w:val="24"/>
        </w:rPr>
      </w:pPr>
    </w:p>
    <w:p w:rsidR="00A44A38" w:rsidRDefault="00A44A38">
      <w:pPr>
        <w:spacing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A44A38">
      <w:pPr>
        <w:spacing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</w:rPr>
      </w:pPr>
    </w:p>
    <w:p w:rsidR="00A44A38" w:rsidRDefault="009F5A78">
      <w:pPr>
        <w:spacing w:line="360" w:lineRule="auto"/>
        <w:ind w:firstLine="48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阳光城集团股份有限公司</w:t>
      </w:r>
    </w:p>
    <w:p w:rsidR="00A44A38" w:rsidRDefault="009F5A78">
      <w:pPr>
        <w:spacing w:line="360" w:lineRule="auto"/>
        <w:ind w:right="480" w:firstLine="482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董事会</w:t>
      </w:r>
    </w:p>
    <w:p w:rsidR="00A44A38" w:rsidRDefault="009F5A78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eastAsia="宋体" w:hAnsi="宋体" w:cs="宋体"/>
          <w:b/>
          <w:color w:val="000000"/>
          <w:sz w:val="24"/>
        </w:rPr>
        <w:t>二○一七年十月二十八日</w:t>
      </w:r>
    </w:p>
    <w:sectPr w:rsidR="00A44A38" w:rsidSect="00A44A38">
      <w:footerReference w:type="default" r:id="rId7"/>
      <w:pgSz w:w="11906" w:h="16838"/>
      <w:pgMar w:top="1361" w:right="1588" w:bottom="1361" w:left="1588" w:header="85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43" w:rsidRDefault="00371F43" w:rsidP="00A44A38">
      <w:r>
        <w:separator/>
      </w:r>
    </w:p>
  </w:endnote>
  <w:endnote w:type="continuationSeparator" w:id="1">
    <w:p w:rsidR="00371F43" w:rsidRDefault="00371F43" w:rsidP="00A4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166"/>
    </w:sdtPr>
    <w:sdtContent>
      <w:p w:rsidR="00A44A38" w:rsidRDefault="00E94A86">
        <w:pPr>
          <w:pStyle w:val="a6"/>
          <w:jc w:val="center"/>
        </w:pPr>
        <w:r w:rsidRPr="00E94A86">
          <w:fldChar w:fldCharType="begin"/>
        </w:r>
        <w:r w:rsidR="009F5A78">
          <w:instrText xml:space="preserve"> PAGE   \* MERGEFORMAT </w:instrText>
        </w:r>
        <w:r w:rsidRPr="00E94A86">
          <w:fldChar w:fldCharType="separate"/>
        </w:r>
        <w:r w:rsidR="009B7A10" w:rsidRPr="009B7A1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44A38" w:rsidRDefault="00A44A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43" w:rsidRDefault="00371F43" w:rsidP="00A44A38">
      <w:r>
        <w:separator/>
      </w:r>
    </w:p>
  </w:footnote>
  <w:footnote w:type="continuationSeparator" w:id="1">
    <w:p w:rsidR="00371F43" w:rsidRDefault="00371F43" w:rsidP="00A44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19F"/>
    <w:rsid w:val="001C05C7"/>
    <w:rsid w:val="001C0F04"/>
    <w:rsid w:val="002545D3"/>
    <w:rsid w:val="002C63E9"/>
    <w:rsid w:val="00371F43"/>
    <w:rsid w:val="003B6B95"/>
    <w:rsid w:val="00491508"/>
    <w:rsid w:val="00603C28"/>
    <w:rsid w:val="006117BE"/>
    <w:rsid w:val="006A019F"/>
    <w:rsid w:val="006D0B92"/>
    <w:rsid w:val="006F3E6B"/>
    <w:rsid w:val="007026F9"/>
    <w:rsid w:val="00724C5A"/>
    <w:rsid w:val="00733E07"/>
    <w:rsid w:val="00826A87"/>
    <w:rsid w:val="00860911"/>
    <w:rsid w:val="009B467F"/>
    <w:rsid w:val="009B7A10"/>
    <w:rsid w:val="009D0366"/>
    <w:rsid w:val="009F5A78"/>
    <w:rsid w:val="00A44A38"/>
    <w:rsid w:val="00A91A29"/>
    <w:rsid w:val="00B711BF"/>
    <w:rsid w:val="00C10291"/>
    <w:rsid w:val="00C70910"/>
    <w:rsid w:val="00C905BD"/>
    <w:rsid w:val="00CB094E"/>
    <w:rsid w:val="00D03D6C"/>
    <w:rsid w:val="00E00A9F"/>
    <w:rsid w:val="00E430C7"/>
    <w:rsid w:val="00E759D9"/>
    <w:rsid w:val="00E910D1"/>
    <w:rsid w:val="00E94A86"/>
    <w:rsid w:val="00EA73CB"/>
    <w:rsid w:val="00EB1821"/>
    <w:rsid w:val="00EE538B"/>
    <w:rsid w:val="00EF5602"/>
    <w:rsid w:val="00F758BD"/>
    <w:rsid w:val="00FC4BEF"/>
    <w:rsid w:val="00FE3CD4"/>
    <w:rsid w:val="028E5946"/>
    <w:rsid w:val="034E7398"/>
    <w:rsid w:val="074E2EE0"/>
    <w:rsid w:val="08D129E7"/>
    <w:rsid w:val="0BDA3BBB"/>
    <w:rsid w:val="0CC62D1F"/>
    <w:rsid w:val="15DC24A5"/>
    <w:rsid w:val="2D6F2128"/>
    <w:rsid w:val="2E1A4814"/>
    <w:rsid w:val="2FBA6207"/>
    <w:rsid w:val="41D978F9"/>
    <w:rsid w:val="58954945"/>
    <w:rsid w:val="5CCE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A3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A44A38"/>
    <w:rPr>
      <w:b/>
      <w:bCs/>
    </w:rPr>
  </w:style>
  <w:style w:type="paragraph" w:styleId="a4">
    <w:name w:val="annotation text"/>
    <w:basedOn w:val="a"/>
    <w:link w:val="Char0"/>
    <w:qFormat/>
    <w:rsid w:val="00A44A38"/>
    <w:pPr>
      <w:jc w:val="left"/>
    </w:pPr>
  </w:style>
  <w:style w:type="paragraph" w:styleId="a5">
    <w:name w:val="Balloon Text"/>
    <w:basedOn w:val="a"/>
    <w:link w:val="Char1"/>
    <w:qFormat/>
    <w:rsid w:val="00A44A38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A4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A4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A44A38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A44A38"/>
    <w:rPr>
      <w:sz w:val="18"/>
      <w:szCs w:val="18"/>
    </w:rPr>
  </w:style>
  <w:style w:type="character" w:customStyle="1" w:styleId="Char3">
    <w:name w:val="页眉 Char"/>
    <w:basedOn w:val="a0"/>
    <w:link w:val="a7"/>
    <w:qFormat/>
    <w:rsid w:val="00A44A3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44A38"/>
    <w:rPr>
      <w:sz w:val="18"/>
      <w:szCs w:val="18"/>
    </w:rPr>
  </w:style>
  <w:style w:type="character" w:customStyle="1" w:styleId="Char0">
    <w:name w:val="批注文字 Char"/>
    <w:basedOn w:val="a0"/>
    <w:link w:val="a4"/>
    <w:qFormat/>
    <w:rsid w:val="00A44A38"/>
    <w:rPr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A44A38"/>
    <w:rPr>
      <w:b/>
      <w:bCs/>
      <w:sz w:val="21"/>
      <w:szCs w:val="22"/>
    </w:rPr>
  </w:style>
  <w:style w:type="paragraph" w:customStyle="1" w:styleId="1">
    <w:name w:val="修订1"/>
    <w:hidden/>
    <w:uiPriority w:val="99"/>
    <w:semiHidden/>
    <w:rsid w:val="00A44A38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292</Words>
  <Characters>1671</Characters>
  <Application>Microsoft Office Word</Application>
  <DocSecurity>0</DocSecurity>
  <Lines>13</Lines>
  <Paragraphs>3</Paragraphs>
  <ScaleCrop>false</ScaleCrop>
  <Company>P R C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Windows User</cp:lastModifiedBy>
  <cp:revision>16</cp:revision>
  <dcterms:created xsi:type="dcterms:W3CDTF">2017-10-25T08:46:00Z</dcterms:created>
  <dcterms:modified xsi:type="dcterms:W3CDTF">2017-10-27T06:27:00Z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