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BE" w:rsidRPr="00CD5685" w:rsidRDefault="00AA1FBE" w:rsidP="00AA1FBE">
      <w:pPr>
        <w:autoSpaceDE w:val="0"/>
        <w:autoSpaceDN w:val="0"/>
        <w:adjustRightInd w:val="0"/>
        <w:spacing w:line="360" w:lineRule="auto"/>
        <w:jc w:val="center"/>
        <w:rPr>
          <w:rFonts w:eastAsia="楷体_GB2312"/>
          <w:kern w:val="0"/>
          <w:sz w:val="24"/>
        </w:rPr>
      </w:pPr>
      <w:r w:rsidRPr="00CD5685">
        <w:rPr>
          <w:rFonts w:eastAsia="楷体_GB2312"/>
          <w:kern w:val="0"/>
          <w:sz w:val="24"/>
        </w:rPr>
        <w:t>证券代码：</w:t>
      </w:r>
      <w:r w:rsidR="00820817" w:rsidRPr="00CD5685">
        <w:rPr>
          <w:rFonts w:eastAsia="楷体_GB2312"/>
          <w:kern w:val="0"/>
          <w:sz w:val="24"/>
        </w:rPr>
        <w:t>000671</w:t>
      </w:r>
      <w:r w:rsidR="00E1568E">
        <w:rPr>
          <w:rFonts w:eastAsia="楷体_GB2312" w:hint="eastAsia"/>
          <w:kern w:val="0"/>
          <w:sz w:val="24"/>
        </w:rPr>
        <w:t xml:space="preserve">      </w:t>
      </w:r>
      <w:r w:rsidRPr="00CD5685">
        <w:rPr>
          <w:rFonts w:eastAsia="楷体_GB2312"/>
          <w:kern w:val="0"/>
          <w:sz w:val="24"/>
        </w:rPr>
        <w:t>证券简称：阳光城</w:t>
      </w:r>
      <w:r w:rsidR="00E1568E">
        <w:rPr>
          <w:rFonts w:eastAsia="楷体_GB2312" w:hint="eastAsia"/>
          <w:kern w:val="0"/>
          <w:sz w:val="24"/>
        </w:rPr>
        <w:t xml:space="preserve">      </w:t>
      </w:r>
      <w:r w:rsidRPr="00CD5685">
        <w:rPr>
          <w:rFonts w:eastAsia="楷体_GB2312"/>
          <w:kern w:val="0"/>
          <w:sz w:val="24"/>
        </w:rPr>
        <w:t>公告编号：</w:t>
      </w:r>
      <w:r w:rsidRPr="00CD5685">
        <w:rPr>
          <w:rFonts w:eastAsia="楷体_GB2312"/>
          <w:kern w:val="0"/>
          <w:sz w:val="24"/>
        </w:rPr>
        <w:t>201</w:t>
      </w:r>
      <w:r w:rsidR="001B6B0A" w:rsidRPr="00CD5685">
        <w:rPr>
          <w:rFonts w:eastAsia="楷体_GB2312"/>
          <w:kern w:val="0"/>
          <w:sz w:val="24"/>
        </w:rPr>
        <w:t>7</w:t>
      </w:r>
      <w:r w:rsidRPr="00CD5685">
        <w:rPr>
          <w:rFonts w:eastAsia="楷体_GB2312"/>
          <w:kern w:val="0"/>
          <w:sz w:val="24"/>
        </w:rPr>
        <w:t>-</w:t>
      </w:r>
      <w:r w:rsidR="00CB4A36">
        <w:rPr>
          <w:rFonts w:eastAsia="楷体_GB2312" w:hint="eastAsia"/>
          <w:kern w:val="0"/>
          <w:sz w:val="24"/>
        </w:rPr>
        <w:t>312</w:t>
      </w:r>
    </w:p>
    <w:p w:rsidR="00AA1FBE" w:rsidRPr="00CD5685" w:rsidRDefault="00AA1FBE" w:rsidP="00AA1FBE">
      <w:pPr>
        <w:autoSpaceDE w:val="0"/>
        <w:autoSpaceDN w:val="0"/>
        <w:adjustRightInd w:val="0"/>
        <w:jc w:val="center"/>
        <w:rPr>
          <w:rFonts w:eastAsia="楷体_GB2312"/>
          <w:kern w:val="0"/>
          <w:sz w:val="24"/>
        </w:rPr>
      </w:pPr>
    </w:p>
    <w:p w:rsidR="00AA1FBE" w:rsidRPr="00CD5685" w:rsidRDefault="00AA1FBE" w:rsidP="00820817">
      <w:pPr>
        <w:spacing w:line="600" w:lineRule="exact"/>
        <w:jc w:val="center"/>
        <w:rPr>
          <w:rFonts w:eastAsia="黑体"/>
          <w:sz w:val="32"/>
          <w:szCs w:val="32"/>
        </w:rPr>
      </w:pPr>
      <w:r w:rsidRPr="00CD5685">
        <w:rPr>
          <w:rFonts w:eastAsia="黑体"/>
          <w:sz w:val="32"/>
          <w:szCs w:val="32"/>
        </w:rPr>
        <w:t>阳光城集团股份有限公司</w:t>
      </w:r>
    </w:p>
    <w:p w:rsidR="00AA1FBE" w:rsidRPr="00CD5685" w:rsidRDefault="00AA1FBE" w:rsidP="00820817">
      <w:pPr>
        <w:spacing w:line="600" w:lineRule="exact"/>
        <w:jc w:val="center"/>
        <w:rPr>
          <w:rFonts w:eastAsia="黑体"/>
          <w:sz w:val="32"/>
          <w:szCs w:val="32"/>
        </w:rPr>
      </w:pPr>
      <w:r w:rsidRPr="00CD5685">
        <w:rPr>
          <w:rFonts w:eastAsia="黑体"/>
          <w:sz w:val="32"/>
          <w:szCs w:val="32"/>
        </w:rPr>
        <w:t>关于为子公司</w:t>
      </w:r>
      <w:r w:rsidR="00F17572" w:rsidRPr="00CD5685">
        <w:rPr>
          <w:rFonts w:eastAsia="黑体"/>
          <w:sz w:val="32"/>
          <w:szCs w:val="32"/>
        </w:rPr>
        <w:t>上海臻百利</w:t>
      </w:r>
      <w:r w:rsidR="000C55C9" w:rsidRPr="00CD5685">
        <w:rPr>
          <w:rFonts w:eastAsia="黑体"/>
          <w:sz w:val="32"/>
          <w:szCs w:val="32"/>
        </w:rPr>
        <w:t>房地产</w:t>
      </w:r>
      <w:r w:rsidRPr="00CD5685">
        <w:rPr>
          <w:rFonts w:eastAsia="黑体"/>
          <w:sz w:val="32"/>
          <w:szCs w:val="32"/>
        </w:rPr>
        <w:t>提供担保的公告</w:t>
      </w:r>
    </w:p>
    <w:p w:rsidR="00AA1FBE" w:rsidRPr="00CD5685" w:rsidRDefault="00AA1FBE" w:rsidP="00AA1FBE">
      <w:pPr>
        <w:spacing w:line="560" w:lineRule="exact"/>
        <w:jc w:val="center"/>
        <w:rPr>
          <w:rFonts w:eastAsia="黑体"/>
          <w:sz w:val="32"/>
          <w:szCs w:val="32"/>
        </w:rPr>
      </w:pPr>
    </w:p>
    <w:p w:rsidR="00AA1FBE" w:rsidRPr="00CD5685" w:rsidRDefault="001B6B0A" w:rsidP="00E1568E">
      <w:pPr>
        <w:spacing w:line="360" w:lineRule="auto"/>
        <w:ind w:firstLineChars="200" w:firstLine="480"/>
        <w:rPr>
          <w:rStyle w:val="da"/>
          <w:rFonts w:eastAsia="楷体_GB2312"/>
          <w:kern w:val="0"/>
          <w:sz w:val="24"/>
        </w:rPr>
      </w:pPr>
      <w:r w:rsidRPr="00CD5685">
        <w:rPr>
          <w:rStyle w:val="da"/>
          <w:rFonts w:eastAsia="楷体_GB2312"/>
          <w:kern w:val="0"/>
          <w:sz w:val="24"/>
        </w:rPr>
        <w:t>本公司及董事会全体成员保证信息披露的内容真实、准确、完整，没有虚假记载、误导性陈述或者重大遗漏。</w:t>
      </w:r>
    </w:p>
    <w:p w:rsidR="00AA1FBE" w:rsidRPr="00CD5685" w:rsidRDefault="00AA1FBE" w:rsidP="00E1568E">
      <w:pPr>
        <w:spacing w:line="360" w:lineRule="auto"/>
        <w:ind w:firstLineChars="200" w:firstLine="480"/>
        <w:rPr>
          <w:rStyle w:val="da"/>
          <w:rFonts w:eastAsia="楷体_GB2312"/>
          <w:kern w:val="0"/>
          <w:sz w:val="24"/>
        </w:rPr>
      </w:pPr>
    </w:p>
    <w:p w:rsidR="00AA1FBE" w:rsidRPr="00CD5685" w:rsidRDefault="00AA1FBE" w:rsidP="00E1568E">
      <w:pPr>
        <w:autoSpaceDE w:val="0"/>
        <w:autoSpaceDN w:val="0"/>
        <w:adjustRightInd w:val="0"/>
        <w:spacing w:line="360" w:lineRule="auto"/>
        <w:ind w:firstLineChars="200" w:firstLine="482"/>
        <w:rPr>
          <w:b/>
          <w:kern w:val="0"/>
          <w:sz w:val="24"/>
        </w:rPr>
      </w:pPr>
      <w:r w:rsidRPr="00CD5685">
        <w:rPr>
          <w:b/>
          <w:kern w:val="0"/>
          <w:sz w:val="24"/>
        </w:rPr>
        <w:t>一、担保情况概述</w:t>
      </w:r>
    </w:p>
    <w:p w:rsidR="00AA1FBE" w:rsidRPr="00CD5685" w:rsidRDefault="00AA1FBE" w:rsidP="00E1568E">
      <w:pPr>
        <w:autoSpaceDE w:val="0"/>
        <w:autoSpaceDN w:val="0"/>
        <w:adjustRightInd w:val="0"/>
        <w:spacing w:line="360" w:lineRule="auto"/>
        <w:ind w:firstLineChars="200" w:firstLine="480"/>
        <w:rPr>
          <w:kern w:val="0"/>
          <w:sz w:val="24"/>
        </w:rPr>
      </w:pPr>
      <w:r w:rsidRPr="00CD5685">
        <w:rPr>
          <w:kern w:val="0"/>
          <w:sz w:val="24"/>
        </w:rPr>
        <w:t>（一）担保情况</w:t>
      </w:r>
    </w:p>
    <w:p w:rsidR="001B6B0A" w:rsidRPr="00CD5685" w:rsidRDefault="001B6B0A" w:rsidP="00E1568E">
      <w:pPr>
        <w:autoSpaceDE w:val="0"/>
        <w:autoSpaceDN w:val="0"/>
        <w:adjustRightInd w:val="0"/>
        <w:spacing w:line="360" w:lineRule="auto"/>
        <w:ind w:firstLineChars="200" w:firstLine="480"/>
        <w:rPr>
          <w:sz w:val="24"/>
        </w:rPr>
      </w:pPr>
      <w:r w:rsidRPr="00CD5685">
        <w:rPr>
          <w:sz w:val="24"/>
        </w:rPr>
        <w:t>浙商金汇信托股份有限公司（以下简称</w:t>
      </w:r>
      <w:r w:rsidRPr="00CD5685">
        <w:rPr>
          <w:sz w:val="24"/>
        </w:rPr>
        <w:t>“</w:t>
      </w:r>
      <w:r w:rsidRPr="00CD5685">
        <w:rPr>
          <w:sz w:val="24"/>
        </w:rPr>
        <w:t>浙金信托</w:t>
      </w:r>
      <w:r w:rsidRPr="00CD5685">
        <w:rPr>
          <w:sz w:val="24"/>
        </w:rPr>
        <w:t>”</w:t>
      </w:r>
      <w:r w:rsidR="000C55C9" w:rsidRPr="00CD5685">
        <w:rPr>
          <w:sz w:val="24"/>
        </w:rPr>
        <w:t>）</w:t>
      </w:r>
      <w:r w:rsidRPr="00CD5685">
        <w:rPr>
          <w:sz w:val="24"/>
        </w:rPr>
        <w:t>作为信托计划受托人以不超过</w:t>
      </w:r>
      <w:r w:rsidRPr="00CD5685">
        <w:rPr>
          <w:sz w:val="24"/>
        </w:rPr>
        <w:t>9</w:t>
      </w:r>
      <w:r w:rsidRPr="00CD5685">
        <w:rPr>
          <w:sz w:val="24"/>
        </w:rPr>
        <w:t>亿元受让阳光城集团股份有限公司（以下简称</w:t>
      </w:r>
      <w:r w:rsidRPr="00CD5685">
        <w:rPr>
          <w:sz w:val="24"/>
        </w:rPr>
        <w:t>“</w:t>
      </w:r>
      <w:r w:rsidRPr="00CD5685">
        <w:rPr>
          <w:sz w:val="24"/>
        </w:rPr>
        <w:t>公司</w:t>
      </w:r>
      <w:r w:rsidRPr="00CD5685">
        <w:rPr>
          <w:sz w:val="24"/>
        </w:rPr>
        <w:t>”</w:t>
      </w:r>
      <w:r w:rsidRPr="00CD5685">
        <w:rPr>
          <w:sz w:val="24"/>
        </w:rPr>
        <w:t>）持有</w:t>
      </w:r>
      <w:r w:rsidRPr="00CD5685">
        <w:rPr>
          <w:sz w:val="24"/>
        </w:rPr>
        <w:t>100%</w:t>
      </w:r>
      <w:r w:rsidRPr="00CD5685">
        <w:rPr>
          <w:sz w:val="24"/>
        </w:rPr>
        <w:t>权益的子公司上海富利腾房地产开发有限公司（以下简称</w:t>
      </w:r>
      <w:r w:rsidRPr="00CD5685">
        <w:rPr>
          <w:sz w:val="24"/>
        </w:rPr>
        <w:t>“</w:t>
      </w:r>
      <w:r w:rsidRPr="00CD5685">
        <w:rPr>
          <w:sz w:val="24"/>
        </w:rPr>
        <w:t>上海富利腾</w:t>
      </w:r>
      <w:r w:rsidR="000C55C9" w:rsidRPr="00CD5685">
        <w:rPr>
          <w:sz w:val="24"/>
        </w:rPr>
        <w:t>房地产</w:t>
      </w:r>
      <w:r w:rsidRPr="00CD5685">
        <w:rPr>
          <w:sz w:val="24"/>
        </w:rPr>
        <w:t>”</w:t>
      </w:r>
      <w:r w:rsidRPr="00CD5685">
        <w:rPr>
          <w:sz w:val="24"/>
        </w:rPr>
        <w:t>）</w:t>
      </w:r>
      <w:r w:rsidR="00BB50F6" w:rsidRPr="00CD5685">
        <w:rPr>
          <w:sz w:val="24"/>
        </w:rPr>
        <w:t>对</w:t>
      </w:r>
      <w:r w:rsidR="00F17572" w:rsidRPr="00CD5685">
        <w:rPr>
          <w:sz w:val="24"/>
        </w:rPr>
        <w:t>上海臻百利</w:t>
      </w:r>
      <w:r w:rsidR="00CB4A36">
        <w:rPr>
          <w:rFonts w:hint="eastAsia"/>
          <w:sz w:val="24"/>
        </w:rPr>
        <w:t>房地产</w:t>
      </w:r>
      <w:r w:rsidR="00BB50F6" w:rsidRPr="00CD5685">
        <w:rPr>
          <w:sz w:val="24"/>
        </w:rPr>
        <w:t>开发有限公司（以下简称</w:t>
      </w:r>
      <w:r w:rsidR="00BB50F6" w:rsidRPr="00CD5685">
        <w:rPr>
          <w:sz w:val="24"/>
        </w:rPr>
        <w:t>“</w:t>
      </w:r>
      <w:r w:rsidR="00BB50F6" w:rsidRPr="00CD5685">
        <w:rPr>
          <w:sz w:val="24"/>
        </w:rPr>
        <w:t>上海臻百利</w:t>
      </w:r>
      <w:r w:rsidR="000C55C9" w:rsidRPr="00CD5685">
        <w:rPr>
          <w:sz w:val="24"/>
        </w:rPr>
        <w:t>房地产</w:t>
      </w:r>
      <w:r w:rsidR="00BB50F6" w:rsidRPr="00CD5685">
        <w:rPr>
          <w:sz w:val="24"/>
        </w:rPr>
        <w:t>”</w:t>
      </w:r>
      <w:r w:rsidR="00BB50F6" w:rsidRPr="00CD5685">
        <w:rPr>
          <w:sz w:val="24"/>
        </w:rPr>
        <w:t>）享有</w:t>
      </w:r>
      <w:r w:rsidRPr="00CD5685">
        <w:rPr>
          <w:sz w:val="24"/>
        </w:rPr>
        <w:t>不超过</w:t>
      </w:r>
      <w:r w:rsidR="00BB50F6" w:rsidRPr="00CD5685">
        <w:rPr>
          <w:sz w:val="24"/>
        </w:rPr>
        <w:t>9</w:t>
      </w:r>
      <w:r w:rsidRPr="00CD5685">
        <w:rPr>
          <w:sz w:val="24"/>
        </w:rPr>
        <w:t>亿元的应收债权（以下简称</w:t>
      </w:r>
      <w:r w:rsidRPr="00CD5685">
        <w:rPr>
          <w:sz w:val="24"/>
        </w:rPr>
        <w:t>“</w:t>
      </w:r>
      <w:r w:rsidRPr="00CD5685">
        <w:rPr>
          <w:sz w:val="24"/>
        </w:rPr>
        <w:t>本次交易</w:t>
      </w:r>
      <w:r w:rsidRPr="00CD5685">
        <w:rPr>
          <w:sz w:val="24"/>
        </w:rPr>
        <w:t>”</w:t>
      </w:r>
      <w:r w:rsidRPr="00CD5685">
        <w:rPr>
          <w:sz w:val="24"/>
        </w:rPr>
        <w:t>），期限</w:t>
      </w:r>
      <w:r w:rsidR="00BB50F6" w:rsidRPr="00CD5685">
        <w:rPr>
          <w:sz w:val="24"/>
        </w:rPr>
        <w:t>1</w:t>
      </w:r>
      <w:r w:rsidRPr="00CD5685">
        <w:rPr>
          <w:sz w:val="24"/>
        </w:rPr>
        <w:t>年，受让完成后，</w:t>
      </w:r>
      <w:r w:rsidR="00BB50F6" w:rsidRPr="00CD5685">
        <w:rPr>
          <w:sz w:val="24"/>
        </w:rPr>
        <w:t>浙金信托</w:t>
      </w:r>
      <w:r w:rsidRPr="00CD5685">
        <w:rPr>
          <w:sz w:val="24"/>
        </w:rPr>
        <w:t>持有</w:t>
      </w:r>
      <w:r w:rsidR="00BB50F6" w:rsidRPr="00CD5685">
        <w:rPr>
          <w:sz w:val="24"/>
        </w:rPr>
        <w:t>上海富利腾</w:t>
      </w:r>
      <w:r w:rsidR="00770B63" w:rsidRPr="00CD5685">
        <w:rPr>
          <w:sz w:val="24"/>
        </w:rPr>
        <w:t>房地产</w:t>
      </w:r>
      <w:r w:rsidR="00BB50F6" w:rsidRPr="00CD5685">
        <w:rPr>
          <w:sz w:val="24"/>
        </w:rPr>
        <w:t>对上海臻百利</w:t>
      </w:r>
      <w:r w:rsidR="00770B63" w:rsidRPr="00CD5685">
        <w:rPr>
          <w:sz w:val="24"/>
        </w:rPr>
        <w:t>房地产</w:t>
      </w:r>
      <w:r w:rsidRPr="00CD5685">
        <w:rPr>
          <w:sz w:val="24"/>
        </w:rPr>
        <w:t>不超过</w:t>
      </w:r>
      <w:r w:rsidR="00BB50F6" w:rsidRPr="00CD5685">
        <w:rPr>
          <w:sz w:val="24"/>
        </w:rPr>
        <w:t>9</w:t>
      </w:r>
      <w:r w:rsidRPr="00CD5685">
        <w:rPr>
          <w:sz w:val="24"/>
        </w:rPr>
        <w:t>亿元债权，</w:t>
      </w:r>
      <w:r w:rsidR="00576A46">
        <w:rPr>
          <w:rFonts w:hint="eastAsia"/>
          <w:sz w:val="24"/>
        </w:rPr>
        <w:t>在</w:t>
      </w:r>
      <w:r w:rsidR="00BB50F6" w:rsidRPr="00CD5685">
        <w:rPr>
          <w:sz w:val="24"/>
        </w:rPr>
        <w:t>上海臻百利</w:t>
      </w:r>
      <w:r w:rsidR="00770B63" w:rsidRPr="00CD5685">
        <w:rPr>
          <w:sz w:val="24"/>
        </w:rPr>
        <w:t>房地产</w:t>
      </w:r>
      <w:r w:rsidR="00576A46">
        <w:rPr>
          <w:rFonts w:hint="eastAsia"/>
          <w:sz w:val="24"/>
        </w:rPr>
        <w:t>到期未能偿还债务的情况下，</w:t>
      </w:r>
      <w:r w:rsidR="00576A46" w:rsidRPr="00CD5685">
        <w:rPr>
          <w:sz w:val="24"/>
        </w:rPr>
        <w:t>上海富利腾房地产</w:t>
      </w:r>
      <w:r w:rsidRPr="00CD5685">
        <w:rPr>
          <w:sz w:val="24"/>
        </w:rPr>
        <w:t>到期回购标的应收债权，作为担保：</w:t>
      </w:r>
      <w:r w:rsidR="00BB50F6" w:rsidRPr="00CD5685">
        <w:rPr>
          <w:sz w:val="24"/>
        </w:rPr>
        <w:t>广东逸涛万国房地产有限公司（以下简称</w:t>
      </w:r>
      <w:r w:rsidR="00BB50F6" w:rsidRPr="00CD5685">
        <w:rPr>
          <w:sz w:val="24"/>
        </w:rPr>
        <w:t>“</w:t>
      </w:r>
      <w:r w:rsidR="00BB50F6" w:rsidRPr="00CD5685">
        <w:rPr>
          <w:sz w:val="24"/>
        </w:rPr>
        <w:t>逸涛万国</w:t>
      </w:r>
      <w:r w:rsidR="00BB50F6" w:rsidRPr="00CD5685">
        <w:rPr>
          <w:sz w:val="24"/>
        </w:rPr>
        <w:t>”</w:t>
      </w:r>
      <w:r w:rsidR="00BB50F6" w:rsidRPr="00CD5685">
        <w:rPr>
          <w:sz w:val="24"/>
        </w:rPr>
        <w:t>）以其持有的位于广州市南沙区万国</w:t>
      </w:r>
      <w:r w:rsidR="00BB50F6" w:rsidRPr="00CD5685">
        <w:rPr>
          <w:sz w:val="24"/>
        </w:rPr>
        <w:t>7</w:t>
      </w:r>
      <w:r w:rsidR="00BB50F6" w:rsidRPr="00CD5685">
        <w:rPr>
          <w:sz w:val="24"/>
        </w:rPr>
        <w:t>期和</w:t>
      </w:r>
      <w:r w:rsidR="00BB50F6" w:rsidRPr="00CD5685">
        <w:rPr>
          <w:sz w:val="24"/>
        </w:rPr>
        <w:t>9</w:t>
      </w:r>
      <w:r w:rsidR="00BB50F6" w:rsidRPr="00CD5685">
        <w:rPr>
          <w:sz w:val="24"/>
        </w:rPr>
        <w:t>期土地所有权</w:t>
      </w:r>
      <w:r w:rsidR="00770B63" w:rsidRPr="00CD5685">
        <w:rPr>
          <w:sz w:val="24"/>
        </w:rPr>
        <w:t>提供抵押</w:t>
      </w:r>
      <w:r w:rsidRPr="00CD5685">
        <w:rPr>
          <w:sz w:val="24"/>
        </w:rPr>
        <w:t>，公司为本次交易</w:t>
      </w:r>
      <w:r w:rsidR="00DE7115" w:rsidRPr="00CD5685">
        <w:rPr>
          <w:sz w:val="24"/>
        </w:rPr>
        <w:t>中</w:t>
      </w:r>
      <w:r w:rsidR="00CD5685" w:rsidRPr="00CD5685">
        <w:rPr>
          <w:sz w:val="24"/>
        </w:rPr>
        <w:t>6</w:t>
      </w:r>
      <w:r w:rsidR="00DE7115" w:rsidRPr="00CD5685">
        <w:rPr>
          <w:sz w:val="24"/>
        </w:rPr>
        <w:t>亿元</w:t>
      </w:r>
      <w:r w:rsidRPr="00CD5685">
        <w:rPr>
          <w:sz w:val="24"/>
        </w:rPr>
        <w:t>提供连带责任保证担保。</w:t>
      </w:r>
    </w:p>
    <w:p w:rsidR="00BB50F6" w:rsidRPr="00CD5685" w:rsidRDefault="00BB50F6" w:rsidP="00E1568E">
      <w:pPr>
        <w:autoSpaceDE w:val="0"/>
        <w:autoSpaceDN w:val="0"/>
        <w:adjustRightInd w:val="0"/>
        <w:spacing w:line="360" w:lineRule="auto"/>
        <w:ind w:firstLineChars="200" w:firstLine="480"/>
        <w:rPr>
          <w:sz w:val="24"/>
        </w:rPr>
      </w:pPr>
      <w:r w:rsidRPr="00CD5685">
        <w:rPr>
          <w:sz w:val="24"/>
        </w:rPr>
        <w:t>（二）担保审批情况</w:t>
      </w:r>
    </w:p>
    <w:p w:rsidR="00BB50F6" w:rsidRPr="00CD5685" w:rsidRDefault="00BB50F6" w:rsidP="00E1568E">
      <w:pPr>
        <w:spacing w:line="360" w:lineRule="auto"/>
        <w:ind w:firstLineChars="200" w:firstLine="480"/>
        <w:rPr>
          <w:sz w:val="24"/>
        </w:rPr>
      </w:pPr>
      <w:r w:rsidRPr="00CD5685">
        <w:rPr>
          <w:sz w:val="24"/>
        </w:rPr>
        <w:t>2017</w:t>
      </w:r>
      <w:r w:rsidRPr="00CD5685">
        <w:rPr>
          <w:sz w:val="24"/>
        </w:rPr>
        <w:t>年</w:t>
      </w:r>
      <w:r w:rsidRPr="00CD5685">
        <w:rPr>
          <w:sz w:val="24"/>
        </w:rPr>
        <w:t>4</w:t>
      </w:r>
      <w:r w:rsidRPr="00CD5685">
        <w:rPr>
          <w:sz w:val="24"/>
        </w:rPr>
        <w:t>月</w:t>
      </w:r>
      <w:r w:rsidRPr="00CD5685">
        <w:rPr>
          <w:sz w:val="24"/>
        </w:rPr>
        <w:t>13</w:t>
      </w:r>
      <w:r w:rsidRPr="00CD5685">
        <w:rPr>
          <w:sz w:val="24"/>
        </w:rPr>
        <w:t>日和</w:t>
      </w:r>
      <w:r w:rsidRPr="00CD5685">
        <w:rPr>
          <w:sz w:val="24"/>
        </w:rPr>
        <w:t>2017</w:t>
      </w:r>
      <w:r w:rsidRPr="00CD5685">
        <w:rPr>
          <w:sz w:val="24"/>
        </w:rPr>
        <w:t>年</w:t>
      </w:r>
      <w:r w:rsidRPr="00CD5685">
        <w:rPr>
          <w:sz w:val="24"/>
        </w:rPr>
        <w:t>5</w:t>
      </w:r>
      <w:r w:rsidRPr="00CD5685">
        <w:rPr>
          <w:sz w:val="24"/>
        </w:rPr>
        <w:t>月</w:t>
      </w:r>
      <w:r w:rsidRPr="00CD5685">
        <w:rPr>
          <w:sz w:val="24"/>
        </w:rPr>
        <w:t>8</w:t>
      </w:r>
      <w:r w:rsidRPr="00CD5685">
        <w:rPr>
          <w:sz w:val="24"/>
        </w:rPr>
        <w:t>日，公司分别召开第九届董事局第二次会议和</w:t>
      </w:r>
      <w:r w:rsidRPr="00CD5685">
        <w:rPr>
          <w:sz w:val="24"/>
        </w:rPr>
        <w:t>2016</w:t>
      </w:r>
      <w:r w:rsidRPr="00CD5685">
        <w:rPr>
          <w:sz w:val="24"/>
        </w:rPr>
        <w:t>年年度股东大会，审议通过了《关于公司</w:t>
      </w:r>
      <w:r w:rsidRPr="00CD5685">
        <w:rPr>
          <w:sz w:val="24"/>
        </w:rPr>
        <w:t>2017</w:t>
      </w:r>
      <w:r w:rsidRPr="00CD5685">
        <w:rPr>
          <w:sz w:val="24"/>
        </w:rPr>
        <w:t>年担保计划的议案》，同意在</w:t>
      </w:r>
      <w:r w:rsidRPr="00CD5685">
        <w:rPr>
          <w:sz w:val="24"/>
        </w:rPr>
        <w:t>600</w:t>
      </w:r>
      <w:r w:rsidRPr="00CD5685">
        <w:rPr>
          <w:sz w:val="24"/>
        </w:rPr>
        <w:t>亿元人民币担保额度以内，授权公司经营管理层负责办理对全资子公司、控股子公司、参股子公司（包括子公司对公司的担保）提供担保的具体事宜，公司将依据各子公司的实际融资情况对担保对象和担保额度进行调剂，实际担保金额、种类、期限等以合同为准。在年度预计担保额度计划范围内，公司将根据审慎原则对各担保事项进行审批和管理。</w:t>
      </w:r>
    </w:p>
    <w:p w:rsidR="00460979" w:rsidRPr="00CD5685" w:rsidRDefault="00460979" w:rsidP="00E1568E">
      <w:pPr>
        <w:spacing w:line="360" w:lineRule="auto"/>
        <w:ind w:firstLineChars="200" w:firstLine="480"/>
        <w:rPr>
          <w:sz w:val="24"/>
        </w:rPr>
      </w:pPr>
    </w:p>
    <w:p w:rsidR="00460979" w:rsidRPr="00CD5685" w:rsidRDefault="00460979" w:rsidP="00E1568E">
      <w:pPr>
        <w:autoSpaceDE w:val="0"/>
        <w:autoSpaceDN w:val="0"/>
        <w:adjustRightInd w:val="0"/>
        <w:spacing w:line="360" w:lineRule="auto"/>
        <w:ind w:firstLineChars="200" w:firstLine="482"/>
        <w:rPr>
          <w:b/>
          <w:kern w:val="0"/>
          <w:sz w:val="24"/>
        </w:rPr>
      </w:pPr>
      <w:r w:rsidRPr="00CD5685">
        <w:rPr>
          <w:b/>
          <w:kern w:val="0"/>
          <w:sz w:val="24"/>
        </w:rPr>
        <w:t>二、被担保人基本情况</w:t>
      </w:r>
    </w:p>
    <w:p w:rsidR="00EA4850" w:rsidRPr="00CD5685" w:rsidRDefault="00AD4A8F" w:rsidP="00E1568E">
      <w:pPr>
        <w:autoSpaceDE w:val="0"/>
        <w:autoSpaceDN w:val="0"/>
        <w:adjustRightInd w:val="0"/>
        <w:spacing w:line="360" w:lineRule="auto"/>
        <w:ind w:firstLineChars="200" w:firstLine="480"/>
        <w:rPr>
          <w:sz w:val="24"/>
        </w:rPr>
      </w:pPr>
      <w:r>
        <w:rPr>
          <w:sz w:val="24"/>
        </w:rPr>
        <w:lastRenderedPageBreak/>
        <w:t>（一）公司名称：</w:t>
      </w:r>
      <w:r w:rsidR="00F17572" w:rsidRPr="00CD5685">
        <w:rPr>
          <w:sz w:val="24"/>
        </w:rPr>
        <w:t>上海臻百利</w:t>
      </w:r>
      <w:r w:rsidR="00CB4A36">
        <w:rPr>
          <w:rFonts w:hint="eastAsia"/>
          <w:sz w:val="24"/>
        </w:rPr>
        <w:t>房地产</w:t>
      </w:r>
      <w:r w:rsidR="00EA4850" w:rsidRPr="00CD5685">
        <w:rPr>
          <w:sz w:val="24"/>
        </w:rPr>
        <w:t>开发有限公司；</w:t>
      </w:r>
    </w:p>
    <w:p w:rsidR="00EA4850" w:rsidRPr="00CD5685" w:rsidRDefault="00EA4850" w:rsidP="00E1568E">
      <w:pPr>
        <w:autoSpaceDE w:val="0"/>
        <w:autoSpaceDN w:val="0"/>
        <w:adjustRightInd w:val="0"/>
        <w:spacing w:line="360" w:lineRule="auto"/>
        <w:ind w:firstLineChars="200" w:firstLine="480"/>
        <w:rPr>
          <w:sz w:val="24"/>
        </w:rPr>
      </w:pPr>
      <w:r w:rsidRPr="00CD5685">
        <w:rPr>
          <w:sz w:val="24"/>
        </w:rPr>
        <w:t>（二）成立日期：</w:t>
      </w:r>
      <w:r w:rsidRPr="00CD5685">
        <w:rPr>
          <w:sz w:val="24"/>
        </w:rPr>
        <w:t>2014</w:t>
      </w:r>
      <w:r w:rsidRPr="00CD5685">
        <w:rPr>
          <w:sz w:val="24"/>
        </w:rPr>
        <w:t>年</w:t>
      </w:r>
      <w:r w:rsidR="009A6B82" w:rsidRPr="00CD5685">
        <w:rPr>
          <w:sz w:val="24"/>
        </w:rPr>
        <w:t>1</w:t>
      </w:r>
      <w:r w:rsidRPr="00CD5685">
        <w:rPr>
          <w:sz w:val="24"/>
        </w:rPr>
        <w:t>2</w:t>
      </w:r>
      <w:r w:rsidRPr="00CD5685">
        <w:rPr>
          <w:sz w:val="24"/>
        </w:rPr>
        <w:t>月</w:t>
      </w:r>
      <w:r w:rsidR="009A6B82" w:rsidRPr="00CD5685">
        <w:rPr>
          <w:sz w:val="24"/>
        </w:rPr>
        <w:t>17</w:t>
      </w:r>
      <w:r w:rsidRPr="00CD5685">
        <w:rPr>
          <w:sz w:val="24"/>
        </w:rPr>
        <w:t>日；</w:t>
      </w:r>
    </w:p>
    <w:p w:rsidR="00EA4850" w:rsidRPr="00CD5685" w:rsidRDefault="00EA4850" w:rsidP="00E1568E">
      <w:pPr>
        <w:autoSpaceDE w:val="0"/>
        <w:autoSpaceDN w:val="0"/>
        <w:adjustRightInd w:val="0"/>
        <w:spacing w:line="360" w:lineRule="auto"/>
        <w:ind w:firstLineChars="200" w:firstLine="480"/>
        <w:rPr>
          <w:sz w:val="24"/>
        </w:rPr>
      </w:pPr>
      <w:r w:rsidRPr="00CD5685">
        <w:rPr>
          <w:sz w:val="24"/>
        </w:rPr>
        <w:t>（三）注册资本：人民币</w:t>
      </w:r>
      <w:r w:rsidRPr="00CD5685">
        <w:rPr>
          <w:sz w:val="24"/>
        </w:rPr>
        <w:t>60,000</w:t>
      </w:r>
      <w:r w:rsidRPr="00CD5685">
        <w:rPr>
          <w:sz w:val="24"/>
        </w:rPr>
        <w:t>万元；</w:t>
      </w:r>
    </w:p>
    <w:p w:rsidR="00EA4850" w:rsidRPr="00CD5685" w:rsidRDefault="00EA4850" w:rsidP="00E1568E">
      <w:pPr>
        <w:autoSpaceDE w:val="0"/>
        <w:autoSpaceDN w:val="0"/>
        <w:adjustRightInd w:val="0"/>
        <w:spacing w:line="360" w:lineRule="auto"/>
        <w:ind w:firstLineChars="200" w:firstLine="480"/>
        <w:rPr>
          <w:sz w:val="24"/>
        </w:rPr>
      </w:pPr>
      <w:r w:rsidRPr="00CD5685">
        <w:rPr>
          <w:sz w:val="24"/>
        </w:rPr>
        <w:t>（四）注册地点：</w:t>
      </w:r>
      <w:r w:rsidR="009A6B82" w:rsidRPr="00CD5685">
        <w:rPr>
          <w:sz w:val="24"/>
        </w:rPr>
        <w:t>上海市杨浦区平凉路</w:t>
      </w:r>
      <w:r w:rsidR="009A6B82" w:rsidRPr="00CD5685">
        <w:rPr>
          <w:sz w:val="24"/>
        </w:rPr>
        <w:t>925</w:t>
      </w:r>
      <w:r w:rsidR="009A6B82" w:rsidRPr="00CD5685">
        <w:rPr>
          <w:sz w:val="24"/>
        </w:rPr>
        <w:t>号</w:t>
      </w:r>
      <w:r w:rsidR="009A6B82" w:rsidRPr="00CD5685">
        <w:rPr>
          <w:sz w:val="24"/>
        </w:rPr>
        <w:t>204</w:t>
      </w:r>
      <w:r w:rsidR="009A6B82" w:rsidRPr="00CD5685">
        <w:rPr>
          <w:sz w:val="24"/>
        </w:rPr>
        <w:t>室</w:t>
      </w:r>
      <w:r w:rsidRPr="00CD5685">
        <w:rPr>
          <w:sz w:val="24"/>
        </w:rPr>
        <w:t>；</w:t>
      </w:r>
    </w:p>
    <w:p w:rsidR="00EA4850" w:rsidRPr="00CD5685" w:rsidRDefault="00EA4850" w:rsidP="00E1568E">
      <w:pPr>
        <w:autoSpaceDE w:val="0"/>
        <w:autoSpaceDN w:val="0"/>
        <w:adjustRightInd w:val="0"/>
        <w:spacing w:line="360" w:lineRule="auto"/>
        <w:ind w:firstLineChars="200" w:firstLine="480"/>
        <w:rPr>
          <w:sz w:val="24"/>
        </w:rPr>
      </w:pPr>
      <w:r w:rsidRPr="00CD5685">
        <w:rPr>
          <w:sz w:val="24"/>
        </w:rPr>
        <w:t>（五）主营业务：</w:t>
      </w:r>
      <w:r w:rsidR="009A6B82" w:rsidRPr="00CD5685">
        <w:rPr>
          <w:sz w:val="24"/>
        </w:rPr>
        <w:t>房地产开发经营，物业管理。【依法须经批准的项目，经相关部门批准后方可开展经营活动】</w:t>
      </w:r>
      <w:r w:rsidRPr="00CD5685">
        <w:rPr>
          <w:sz w:val="24"/>
        </w:rPr>
        <w:t>；</w:t>
      </w:r>
    </w:p>
    <w:p w:rsidR="009A6B82" w:rsidRPr="00CD5685" w:rsidRDefault="00EA4850" w:rsidP="00E1568E">
      <w:pPr>
        <w:autoSpaceDE w:val="0"/>
        <w:autoSpaceDN w:val="0"/>
        <w:adjustRightInd w:val="0"/>
        <w:spacing w:line="360" w:lineRule="auto"/>
        <w:ind w:firstLineChars="200" w:firstLine="480"/>
        <w:rPr>
          <w:sz w:val="24"/>
        </w:rPr>
      </w:pPr>
      <w:r w:rsidRPr="00CD5685">
        <w:rPr>
          <w:sz w:val="24"/>
        </w:rPr>
        <w:t>（六）股东情况：</w:t>
      </w:r>
      <w:r w:rsidR="009A6B82" w:rsidRPr="00CD5685">
        <w:rPr>
          <w:sz w:val="24"/>
        </w:rPr>
        <w:t>公司持有</w:t>
      </w:r>
      <w:r w:rsidR="009A64A9" w:rsidRPr="00CD5685">
        <w:rPr>
          <w:sz w:val="24"/>
        </w:rPr>
        <w:t>100%</w:t>
      </w:r>
      <w:r w:rsidR="009A6B82" w:rsidRPr="00CD5685">
        <w:rPr>
          <w:sz w:val="24"/>
        </w:rPr>
        <w:t>权益的子公司上海富利腾房地产开发有限公司持有其</w:t>
      </w:r>
      <w:r w:rsidR="00F6163C" w:rsidRPr="00CD5685">
        <w:rPr>
          <w:sz w:val="24"/>
        </w:rPr>
        <w:t>16.67%</w:t>
      </w:r>
      <w:r w:rsidR="009A6B82" w:rsidRPr="00CD5685">
        <w:rPr>
          <w:sz w:val="24"/>
        </w:rPr>
        <w:t>股份，公司持有其</w:t>
      </w:r>
      <w:r w:rsidR="007C54FA" w:rsidRPr="00CD5685">
        <w:rPr>
          <w:sz w:val="24"/>
        </w:rPr>
        <w:t>83.33%</w:t>
      </w:r>
      <w:r w:rsidR="009A6B82" w:rsidRPr="00CD5685">
        <w:rPr>
          <w:sz w:val="24"/>
        </w:rPr>
        <w:t>股份。</w:t>
      </w:r>
    </w:p>
    <w:p w:rsidR="00EA4850" w:rsidRPr="00CD5685" w:rsidRDefault="00EA4850" w:rsidP="00E1568E">
      <w:pPr>
        <w:spacing w:line="360" w:lineRule="auto"/>
        <w:ind w:firstLineChars="198" w:firstLine="475"/>
        <w:rPr>
          <w:sz w:val="24"/>
        </w:rPr>
      </w:pPr>
      <w:r w:rsidRPr="00CD5685">
        <w:rPr>
          <w:sz w:val="24"/>
        </w:rPr>
        <w:t>（七）最近一期财务数据（单位：万元）</w:t>
      </w:r>
    </w:p>
    <w:tbl>
      <w:tblPr>
        <w:tblStyle w:val="a5"/>
        <w:tblW w:w="5000" w:type="pct"/>
        <w:tblLook w:val="04A0"/>
      </w:tblPr>
      <w:tblGrid>
        <w:gridCol w:w="2950"/>
        <w:gridCol w:w="2999"/>
        <w:gridCol w:w="2997"/>
      </w:tblGrid>
      <w:tr w:rsidR="00316485" w:rsidRPr="00CD5685" w:rsidTr="002E6572">
        <w:tc>
          <w:tcPr>
            <w:tcW w:w="1649" w:type="pct"/>
            <w:tcBorders>
              <w:top w:val="single" w:sz="4" w:space="0" w:color="auto"/>
              <w:left w:val="single" w:sz="4" w:space="0" w:color="auto"/>
              <w:bottom w:val="single" w:sz="4" w:space="0" w:color="auto"/>
              <w:right w:val="single" w:sz="4" w:space="0" w:color="auto"/>
            </w:tcBorders>
            <w:vAlign w:val="center"/>
          </w:tcPr>
          <w:p w:rsidR="00EA4850" w:rsidRPr="00CD5685" w:rsidRDefault="00EA4850" w:rsidP="002E6572">
            <w:pPr>
              <w:jc w:val="center"/>
              <w:rPr>
                <w:szCs w:val="21"/>
              </w:rPr>
            </w:pPr>
          </w:p>
        </w:tc>
        <w:tc>
          <w:tcPr>
            <w:tcW w:w="1676" w:type="pct"/>
            <w:tcBorders>
              <w:top w:val="single" w:sz="4" w:space="0" w:color="auto"/>
              <w:left w:val="single" w:sz="4" w:space="0" w:color="auto"/>
              <w:bottom w:val="single" w:sz="4" w:space="0" w:color="auto"/>
              <w:right w:val="single" w:sz="4" w:space="0" w:color="auto"/>
            </w:tcBorders>
            <w:vAlign w:val="center"/>
          </w:tcPr>
          <w:p w:rsidR="00EA4850" w:rsidRPr="00CD5685" w:rsidRDefault="00EA4850" w:rsidP="00E1568E">
            <w:pPr>
              <w:jc w:val="center"/>
              <w:rPr>
                <w:b/>
                <w:szCs w:val="21"/>
              </w:rPr>
            </w:pPr>
            <w:r w:rsidRPr="00CD5685">
              <w:rPr>
                <w:b/>
                <w:szCs w:val="21"/>
              </w:rPr>
              <w:t>201</w:t>
            </w:r>
            <w:r w:rsidR="001C1D55" w:rsidRPr="00CD5685">
              <w:rPr>
                <w:b/>
                <w:szCs w:val="21"/>
              </w:rPr>
              <w:t>6</w:t>
            </w:r>
            <w:r w:rsidRPr="00CD5685">
              <w:rPr>
                <w:b/>
                <w:szCs w:val="21"/>
              </w:rPr>
              <w:t>年</w:t>
            </w:r>
            <w:r w:rsidRPr="00CD5685">
              <w:rPr>
                <w:b/>
                <w:szCs w:val="21"/>
              </w:rPr>
              <w:t>12</w:t>
            </w:r>
            <w:r w:rsidRPr="00CD5685">
              <w:rPr>
                <w:b/>
                <w:szCs w:val="21"/>
              </w:rPr>
              <w:t>月</w:t>
            </w:r>
            <w:r w:rsidRPr="00CD5685">
              <w:rPr>
                <w:b/>
                <w:szCs w:val="21"/>
              </w:rPr>
              <w:t>31</w:t>
            </w:r>
            <w:r w:rsidRPr="00CD5685">
              <w:rPr>
                <w:b/>
                <w:szCs w:val="21"/>
              </w:rPr>
              <w:t>日（经审计）</w:t>
            </w:r>
          </w:p>
        </w:tc>
        <w:tc>
          <w:tcPr>
            <w:tcW w:w="1675" w:type="pct"/>
            <w:tcBorders>
              <w:top w:val="single" w:sz="4" w:space="0" w:color="auto"/>
              <w:left w:val="single" w:sz="4" w:space="0" w:color="auto"/>
              <w:bottom w:val="single" w:sz="4" w:space="0" w:color="auto"/>
              <w:right w:val="single" w:sz="4" w:space="0" w:color="auto"/>
            </w:tcBorders>
            <w:vAlign w:val="center"/>
            <w:hideMark/>
          </w:tcPr>
          <w:p w:rsidR="00EA4850" w:rsidRPr="00CD5685" w:rsidRDefault="00EA4850" w:rsidP="00E1568E">
            <w:pPr>
              <w:jc w:val="center"/>
              <w:rPr>
                <w:b/>
                <w:szCs w:val="21"/>
              </w:rPr>
            </w:pPr>
            <w:r w:rsidRPr="00CD5685">
              <w:rPr>
                <w:b/>
                <w:szCs w:val="21"/>
              </w:rPr>
              <w:t>201</w:t>
            </w:r>
            <w:r w:rsidR="001C1D55" w:rsidRPr="00CD5685">
              <w:rPr>
                <w:b/>
                <w:szCs w:val="21"/>
              </w:rPr>
              <w:t>7</w:t>
            </w:r>
            <w:r w:rsidRPr="00CD5685">
              <w:rPr>
                <w:b/>
                <w:szCs w:val="21"/>
              </w:rPr>
              <w:t>年</w:t>
            </w:r>
            <w:r w:rsidRPr="00CD5685">
              <w:rPr>
                <w:b/>
                <w:szCs w:val="21"/>
              </w:rPr>
              <w:t>9</w:t>
            </w:r>
            <w:r w:rsidRPr="00CD5685">
              <w:rPr>
                <w:b/>
                <w:szCs w:val="21"/>
              </w:rPr>
              <w:t>月</w:t>
            </w:r>
            <w:r w:rsidRPr="00CD5685">
              <w:rPr>
                <w:b/>
                <w:szCs w:val="21"/>
              </w:rPr>
              <w:t>30</w:t>
            </w:r>
            <w:r w:rsidRPr="00CD5685">
              <w:rPr>
                <w:b/>
                <w:szCs w:val="21"/>
              </w:rPr>
              <w:t>日（未经审计）</w:t>
            </w:r>
          </w:p>
        </w:tc>
      </w:tr>
      <w:tr w:rsidR="00DE7115" w:rsidRPr="00CD5685" w:rsidTr="00E7127F">
        <w:tc>
          <w:tcPr>
            <w:tcW w:w="1649" w:type="pct"/>
            <w:tcBorders>
              <w:top w:val="single" w:sz="4" w:space="0" w:color="auto"/>
              <w:left w:val="single" w:sz="4" w:space="0" w:color="auto"/>
              <w:bottom w:val="single" w:sz="4" w:space="0" w:color="auto"/>
              <w:right w:val="single" w:sz="4" w:space="0" w:color="auto"/>
            </w:tcBorders>
            <w:vAlign w:val="center"/>
            <w:hideMark/>
          </w:tcPr>
          <w:p w:rsidR="00DE7115" w:rsidRPr="00CD5685" w:rsidRDefault="00DE7115" w:rsidP="00DE7115">
            <w:pPr>
              <w:jc w:val="center"/>
              <w:rPr>
                <w:b/>
                <w:szCs w:val="21"/>
              </w:rPr>
            </w:pPr>
            <w:r w:rsidRPr="00CD5685">
              <w:rPr>
                <w:b/>
                <w:szCs w:val="21"/>
              </w:rPr>
              <w:t>资产总额</w:t>
            </w:r>
          </w:p>
        </w:tc>
        <w:tc>
          <w:tcPr>
            <w:tcW w:w="1676" w:type="pct"/>
            <w:tcBorders>
              <w:top w:val="single" w:sz="4" w:space="0" w:color="auto"/>
              <w:left w:val="single" w:sz="4" w:space="0" w:color="auto"/>
              <w:bottom w:val="single" w:sz="4" w:space="0" w:color="auto"/>
              <w:right w:val="single" w:sz="4" w:space="0" w:color="auto"/>
            </w:tcBorders>
            <w:vAlign w:val="center"/>
          </w:tcPr>
          <w:p w:rsidR="00DE7115" w:rsidRPr="00CD5685" w:rsidRDefault="00DE7115" w:rsidP="00DE7115">
            <w:pPr>
              <w:jc w:val="right"/>
              <w:rPr>
                <w:sz w:val="20"/>
                <w:szCs w:val="20"/>
              </w:rPr>
            </w:pPr>
            <w:r w:rsidRPr="00CD5685">
              <w:rPr>
                <w:rFonts w:eastAsia="等线"/>
                <w:color w:val="000000"/>
                <w:sz w:val="22"/>
                <w:szCs w:val="22"/>
              </w:rPr>
              <w:t xml:space="preserve">   437,045.94 </w:t>
            </w:r>
          </w:p>
        </w:tc>
        <w:tc>
          <w:tcPr>
            <w:tcW w:w="1675" w:type="pct"/>
            <w:tcBorders>
              <w:top w:val="single" w:sz="4" w:space="0" w:color="auto"/>
              <w:left w:val="single" w:sz="4" w:space="0" w:color="auto"/>
              <w:bottom w:val="single" w:sz="4" w:space="0" w:color="auto"/>
              <w:right w:val="single" w:sz="4" w:space="0" w:color="auto"/>
            </w:tcBorders>
            <w:vAlign w:val="center"/>
          </w:tcPr>
          <w:p w:rsidR="00DE7115" w:rsidRPr="00CD5685" w:rsidRDefault="00DE7115" w:rsidP="00DE7115">
            <w:pPr>
              <w:jc w:val="right"/>
              <w:rPr>
                <w:sz w:val="20"/>
                <w:szCs w:val="20"/>
              </w:rPr>
            </w:pPr>
            <w:r w:rsidRPr="00CD5685">
              <w:rPr>
                <w:rFonts w:eastAsia="等线"/>
                <w:color w:val="000000"/>
                <w:sz w:val="22"/>
                <w:szCs w:val="22"/>
              </w:rPr>
              <w:t xml:space="preserve">   568,142.79 </w:t>
            </w:r>
          </w:p>
        </w:tc>
      </w:tr>
      <w:tr w:rsidR="00DE7115" w:rsidRPr="00CD5685" w:rsidTr="00E7127F">
        <w:tc>
          <w:tcPr>
            <w:tcW w:w="1649" w:type="pct"/>
            <w:tcBorders>
              <w:top w:val="single" w:sz="4" w:space="0" w:color="auto"/>
              <w:left w:val="single" w:sz="4" w:space="0" w:color="auto"/>
              <w:bottom w:val="single" w:sz="4" w:space="0" w:color="auto"/>
              <w:right w:val="single" w:sz="4" w:space="0" w:color="auto"/>
            </w:tcBorders>
            <w:vAlign w:val="center"/>
            <w:hideMark/>
          </w:tcPr>
          <w:p w:rsidR="00DE7115" w:rsidRPr="00CD5685" w:rsidRDefault="00DE7115" w:rsidP="00DE7115">
            <w:pPr>
              <w:jc w:val="center"/>
              <w:rPr>
                <w:b/>
                <w:szCs w:val="21"/>
              </w:rPr>
            </w:pPr>
            <w:r w:rsidRPr="00CD5685">
              <w:rPr>
                <w:b/>
                <w:szCs w:val="21"/>
              </w:rPr>
              <w:t>负债总额</w:t>
            </w:r>
          </w:p>
        </w:tc>
        <w:tc>
          <w:tcPr>
            <w:tcW w:w="1676" w:type="pct"/>
            <w:tcBorders>
              <w:top w:val="single" w:sz="4" w:space="0" w:color="auto"/>
              <w:left w:val="single" w:sz="4" w:space="0" w:color="auto"/>
              <w:bottom w:val="single" w:sz="4" w:space="0" w:color="auto"/>
              <w:right w:val="single" w:sz="4" w:space="0" w:color="auto"/>
            </w:tcBorders>
            <w:vAlign w:val="center"/>
          </w:tcPr>
          <w:p w:rsidR="00DE7115" w:rsidRPr="00CD5685" w:rsidRDefault="00DE7115" w:rsidP="00DE7115">
            <w:pPr>
              <w:jc w:val="right"/>
              <w:rPr>
                <w:sz w:val="20"/>
                <w:szCs w:val="20"/>
              </w:rPr>
            </w:pPr>
            <w:r w:rsidRPr="00CD5685">
              <w:rPr>
                <w:rFonts w:eastAsia="等线"/>
                <w:color w:val="000000"/>
                <w:sz w:val="22"/>
                <w:szCs w:val="22"/>
              </w:rPr>
              <w:t xml:space="preserve">   384,777.71 </w:t>
            </w:r>
          </w:p>
        </w:tc>
        <w:tc>
          <w:tcPr>
            <w:tcW w:w="1675" w:type="pct"/>
            <w:tcBorders>
              <w:top w:val="single" w:sz="4" w:space="0" w:color="auto"/>
              <w:left w:val="single" w:sz="4" w:space="0" w:color="auto"/>
              <w:bottom w:val="single" w:sz="4" w:space="0" w:color="auto"/>
              <w:right w:val="single" w:sz="4" w:space="0" w:color="auto"/>
            </w:tcBorders>
            <w:vAlign w:val="center"/>
          </w:tcPr>
          <w:p w:rsidR="00DE7115" w:rsidRPr="00CD5685" w:rsidRDefault="00DE7115" w:rsidP="00DE7115">
            <w:pPr>
              <w:jc w:val="right"/>
              <w:rPr>
                <w:sz w:val="20"/>
                <w:szCs w:val="20"/>
              </w:rPr>
            </w:pPr>
            <w:r w:rsidRPr="00CD5685">
              <w:rPr>
                <w:rFonts w:eastAsia="等线"/>
                <w:color w:val="000000"/>
                <w:sz w:val="22"/>
                <w:szCs w:val="22"/>
              </w:rPr>
              <w:t xml:space="preserve">   519,645.38 </w:t>
            </w:r>
          </w:p>
        </w:tc>
      </w:tr>
      <w:tr w:rsidR="00DE7115" w:rsidRPr="00CD5685" w:rsidTr="002E6572">
        <w:tc>
          <w:tcPr>
            <w:tcW w:w="1649" w:type="pct"/>
            <w:tcBorders>
              <w:top w:val="single" w:sz="4" w:space="0" w:color="auto"/>
              <w:left w:val="single" w:sz="4" w:space="0" w:color="auto"/>
              <w:bottom w:val="single" w:sz="4" w:space="0" w:color="auto"/>
              <w:right w:val="single" w:sz="4" w:space="0" w:color="auto"/>
            </w:tcBorders>
            <w:vAlign w:val="center"/>
            <w:hideMark/>
          </w:tcPr>
          <w:p w:rsidR="00DE7115" w:rsidRPr="00CD5685" w:rsidRDefault="00DE7115" w:rsidP="00DE7115">
            <w:pPr>
              <w:jc w:val="center"/>
              <w:rPr>
                <w:b/>
                <w:szCs w:val="21"/>
              </w:rPr>
            </w:pPr>
            <w:r w:rsidRPr="00CD5685">
              <w:rPr>
                <w:b/>
                <w:szCs w:val="21"/>
              </w:rPr>
              <w:t>净资产</w:t>
            </w:r>
          </w:p>
        </w:tc>
        <w:tc>
          <w:tcPr>
            <w:tcW w:w="1676" w:type="pct"/>
            <w:tcBorders>
              <w:top w:val="single" w:sz="4" w:space="0" w:color="auto"/>
              <w:left w:val="single" w:sz="4" w:space="0" w:color="auto"/>
              <w:bottom w:val="single" w:sz="4" w:space="0" w:color="auto"/>
              <w:right w:val="single" w:sz="4" w:space="0" w:color="auto"/>
            </w:tcBorders>
            <w:vAlign w:val="center"/>
          </w:tcPr>
          <w:p w:rsidR="00DE7115" w:rsidRPr="00CD5685" w:rsidRDefault="00DE7115" w:rsidP="00DE7115">
            <w:pPr>
              <w:jc w:val="right"/>
              <w:rPr>
                <w:sz w:val="20"/>
                <w:szCs w:val="20"/>
              </w:rPr>
            </w:pPr>
            <w:r w:rsidRPr="00CD5685">
              <w:rPr>
                <w:rFonts w:eastAsia="等线"/>
                <w:color w:val="000000"/>
                <w:sz w:val="22"/>
                <w:szCs w:val="22"/>
              </w:rPr>
              <w:t xml:space="preserve">     52,268.23 </w:t>
            </w:r>
          </w:p>
        </w:tc>
        <w:tc>
          <w:tcPr>
            <w:tcW w:w="1675" w:type="pct"/>
            <w:tcBorders>
              <w:top w:val="single" w:sz="4" w:space="0" w:color="auto"/>
              <w:left w:val="single" w:sz="4" w:space="0" w:color="auto"/>
              <w:bottom w:val="single" w:sz="4" w:space="0" w:color="auto"/>
              <w:right w:val="single" w:sz="4" w:space="0" w:color="auto"/>
            </w:tcBorders>
            <w:vAlign w:val="center"/>
          </w:tcPr>
          <w:p w:rsidR="00DE7115" w:rsidRPr="00CD5685" w:rsidRDefault="00DE7115" w:rsidP="00DE7115">
            <w:pPr>
              <w:jc w:val="right"/>
              <w:rPr>
                <w:sz w:val="20"/>
                <w:szCs w:val="20"/>
              </w:rPr>
            </w:pPr>
            <w:r w:rsidRPr="00CD5685">
              <w:rPr>
                <w:rFonts w:eastAsia="等线"/>
                <w:color w:val="000000"/>
                <w:sz w:val="22"/>
                <w:szCs w:val="22"/>
              </w:rPr>
              <w:t xml:space="preserve">     48,497.41 </w:t>
            </w:r>
          </w:p>
        </w:tc>
      </w:tr>
      <w:tr w:rsidR="006536EE" w:rsidRPr="00CD5685" w:rsidTr="002E6572">
        <w:tc>
          <w:tcPr>
            <w:tcW w:w="1649" w:type="pct"/>
            <w:tcBorders>
              <w:top w:val="single" w:sz="4" w:space="0" w:color="auto"/>
              <w:left w:val="single" w:sz="4" w:space="0" w:color="auto"/>
              <w:bottom w:val="single" w:sz="4" w:space="0" w:color="auto"/>
              <w:right w:val="single" w:sz="4" w:space="0" w:color="auto"/>
            </w:tcBorders>
            <w:vAlign w:val="center"/>
          </w:tcPr>
          <w:p w:rsidR="006536EE" w:rsidRPr="00CD5685" w:rsidRDefault="006536EE" w:rsidP="002E6572">
            <w:pPr>
              <w:jc w:val="center"/>
              <w:rPr>
                <w:b/>
                <w:szCs w:val="21"/>
              </w:rPr>
            </w:pPr>
          </w:p>
        </w:tc>
        <w:tc>
          <w:tcPr>
            <w:tcW w:w="1676" w:type="pct"/>
            <w:tcBorders>
              <w:top w:val="single" w:sz="4" w:space="0" w:color="auto"/>
              <w:left w:val="single" w:sz="4" w:space="0" w:color="auto"/>
              <w:bottom w:val="single" w:sz="4" w:space="0" w:color="auto"/>
              <w:right w:val="single" w:sz="4" w:space="0" w:color="auto"/>
            </w:tcBorders>
            <w:vAlign w:val="center"/>
          </w:tcPr>
          <w:p w:rsidR="006536EE" w:rsidRPr="00CD5685" w:rsidRDefault="006536EE" w:rsidP="001C1D55">
            <w:pPr>
              <w:jc w:val="center"/>
              <w:rPr>
                <w:b/>
                <w:szCs w:val="21"/>
              </w:rPr>
            </w:pPr>
            <w:r w:rsidRPr="00CD5685">
              <w:rPr>
                <w:b/>
                <w:szCs w:val="21"/>
              </w:rPr>
              <w:t>2016</w:t>
            </w:r>
            <w:r w:rsidRPr="00CD5685">
              <w:rPr>
                <w:b/>
                <w:szCs w:val="21"/>
              </w:rPr>
              <w:t>年</w:t>
            </w:r>
            <w:r w:rsidRPr="00CD5685">
              <w:rPr>
                <w:b/>
                <w:szCs w:val="21"/>
              </w:rPr>
              <w:t>1-12</w:t>
            </w:r>
            <w:r w:rsidRPr="00CD5685">
              <w:rPr>
                <w:b/>
                <w:szCs w:val="21"/>
              </w:rPr>
              <w:t>月</w:t>
            </w:r>
          </w:p>
        </w:tc>
        <w:tc>
          <w:tcPr>
            <w:tcW w:w="1675" w:type="pct"/>
            <w:tcBorders>
              <w:top w:val="single" w:sz="4" w:space="0" w:color="auto"/>
              <w:left w:val="single" w:sz="4" w:space="0" w:color="auto"/>
              <w:bottom w:val="single" w:sz="4" w:space="0" w:color="auto"/>
              <w:right w:val="single" w:sz="4" w:space="0" w:color="auto"/>
            </w:tcBorders>
            <w:vAlign w:val="center"/>
            <w:hideMark/>
          </w:tcPr>
          <w:p w:rsidR="006536EE" w:rsidRPr="00CD5685" w:rsidRDefault="006536EE" w:rsidP="001C1D55">
            <w:pPr>
              <w:jc w:val="center"/>
              <w:rPr>
                <w:b/>
                <w:szCs w:val="21"/>
              </w:rPr>
            </w:pPr>
            <w:r w:rsidRPr="00CD5685">
              <w:rPr>
                <w:b/>
                <w:szCs w:val="21"/>
              </w:rPr>
              <w:t>2017</w:t>
            </w:r>
            <w:r w:rsidRPr="00CD5685">
              <w:rPr>
                <w:b/>
                <w:szCs w:val="21"/>
              </w:rPr>
              <w:t>年</w:t>
            </w:r>
            <w:r w:rsidRPr="00CD5685">
              <w:rPr>
                <w:b/>
                <w:szCs w:val="21"/>
              </w:rPr>
              <w:t>1-9</w:t>
            </w:r>
            <w:r w:rsidRPr="00CD5685">
              <w:rPr>
                <w:b/>
                <w:szCs w:val="21"/>
              </w:rPr>
              <w:t>月</w:t>
            </w:r>
          </w:p>
        </w:tc>
      </w:tr>
      <w:tr w:rsidR="00DE7115" w:rsidRPr="00CD5685" w:rsidTr="002E6572">
        <w:tc>
          <w:tcPr>
            <w:tcW w:w="1649" w:type="pct"/>
            <w:tcBorders>
              <w:top w:val="single" w:sz="4" w:space="0" w:color="auto"/>
              <w:left w:val="single" w:sz="4" w:space="0" w:color="auto"/>
              <w:bottom w:val="single" w:sz="4" w:space="0" w:color="auto"/>
              <w:right w:val="single" w:sz="4" w:space="0" w:color="auto"/>
            </w:tcBorders>
            <w:vAlign w:val="center"/>
            <w:hideMark/>
          </w:tcPr>
          <w:p w:rsidR="00DE7115" w:rsidRPr="00CD5685" w:rsidRDefault="00DE7115" w:rsidP="00DE7115">
            <w:pPr>
              <w:jc w:val="center"/>
              <w:rPr>
                <w:b/>
                <w:szCs w:val="21"/>
              </w:rPr>
            </w:pPr>
            <w:r w:rsidRPr="00CD5685">
              <w:rPr>
                <w:b/>
                <w:szCs w:val="21"/>
              </w:rPr>
              <w:t>营业收入</w:t>
            </w:r>
          </w:p>
        </w:tc>
        <w:tc>
          <w:tcPr>
            <w:tcW w:w="1676" w:type="pct"/>
            <w:tcBorders>
              <w:top w:val="single" w:sz="4" w:space="0" w:color="auto"/>
              <w:left w:val="single" w:sz="4" w:space="0" w:color="auto"/>
              <w:bottom w:val="single" w:sz="4" w:space="0" w:color="auto"/>
              <w:right w:val="single" w:sz="4" w:space="0" w:color="auto"/>
            </w:tcBorders>
            <w:vAlign w:val="center"/>
          </w:tcPr>
          <w:p w:rsidR="00DE7115" w:rsidRPr="00CD5685" w:rsidRDefault="00DE7115" w:rsidP="00DE7115">
            <w:pPr>
              <w:jc w:val="right"/>
              <w:rPr>
                <w:szCs w:val="21"/>
              </w:rPr>
            </w:pPr>
            <w:r w:rsidRPr="00CD5685">
              <w:rPr>
                <w:rFonts w:eastAsia="等线"/>
                <w:color w:val="000000"/>
                <w:sz w:val="22"/>
                <w:szCs w:val="22"/>
              </w:rPr>
              <w:t>0</w:t>
            </w:r>
          </w:p>
        </w:tc>
        <w:tc>
          <w:tcPr>
            <w:tcW w:w="1675" w:type="pct"/>
            <w:tcBorders>
              <w:top w:val="single" w:sz="4" w:space="0" w:color="auto"/>
              <w:left w:val="single" w:sz="4" w:space="0" w:color="auto"/>
              <w:bottom w:val="single" w:sz="4" w:space="0" w:color="auto"/>
              <w:right w:val="single" w:sz="4" w:space="0" w:color="auto"/>
            </w:tcBorders>
            <w:vAlign w:val="center"/>
          </w:tcPr>
          <w:p w:rsidR="00DE7115" w:rsidRPr="00CD5685" w:rsidRDefault="00DE7115" w:rsidP="00DE7115">
            <w:pPr>
              <w:jc w:val="right"/>
              <w:rPr>
                <w:szCs w:val="21"/>
              </w:rPr>
            </w:pPr>
            <w:r w:rsidRPr="00CD5685">
              <w:rPr>
                <w:rFonts w:eastAsia="等线"/>
                <w:color w:val="000000"/>
                <w:sz w:val="22"/>
                <w:szCs w:val="22"/>
              </w:rPr>
              <w:t>0</w:t>
            </w:r>
          </w:p>
        </w:tc>
      </w:tr>
      <w:tr w:rsidR="00DE7115" w:rsidRPr="00CD5685" w:rsidTr="002E6572">
        <w:tc>
          <w:tcPr>
            <w:tcW w:w="1649" w:type="pct"/>
            <w:tcBorders>
              <w:top w:val="single" w:sz="4" w:space="0" w:color="auto"/>
              <w:left w:val="single" w:sz="4" w:space="0" w:color="auto"/>
              <w:bottom w:val="single" w:sz="4" w:space="0" w:color="auto"/>
              <w:right w:val="single" w:sz="4" w:space="0" w:color="auto"/>
            </w:tcBorders>
            <w:vAlign w:val="center"/>
            <w:hideMark/>
          </w:tcPr>
          <w:p w:rsidR="00DE7115" w:rsidRPr="00CD5685" w:rsidRDefault="00DE7115" w:rsidP="00DE7115">
            <w:pPr>
              <w:jc w:val="center"/>
              <w:rPr>
                <w:b/>
                <w:szCs w:val="21"/>
              </w:rPr>
            </w:pPr>
            <w:r w:rsidRPr="00CD5685">
              <w:rPr>
                <w:b/>
                <w:szCs w:val="21"/>
              </w:rPr>
              <w:t>净利润</w:t>
            </w:r>
          </w:p>
        </w:tc>
        <w:tc>
          <w:tcPr>
            <w:tcW w:w="1676" w:type="pct"/>
            <w:tcBorders>
              <w:top w:val="single" w:sz="4" w:space="0" w:color="auto"/>
              <w:left w:val="single" w:sz="4" w:space="0" w:color="auto"/>
              <w:bottom w:val="single" w:sz="4" w:space="0" w:color="auto"/>
              <w:right w:val="single" w:sz="4" w:space="0" w:color="auto"/>
            </w:tcBorders>
            <w:vAlign w:val="center"/>
          </w:tcPr>
          <w:p w:rsidR="00DE7115" w:rsidRPr="00CD5685" w:rsidRDefault="00DE7115" w:rsidP="00DE7115">
            <w:pPr>
              <w:jc w:val="right"/>
              <w:rPr>
                <w:szCs w:val="21"/>
              </w:rPr>
            </w:pPr>
            <w:r w:rsidRPr="00CD5685">
              <w:rPr>
                <w:rFonts w:eastAsia="等线"/>
                <w:color w:val="000000"/>
                <w:sz w:val="22"/>
                <w:szCs w:val="22"/>
              </w:rPr>
              <w:t xml:space="preserve">     -6,316.00 </w:t>
            </w:r>
          </w:p>
        </w:tc>
        <w:tc>
          <w:tcPr>
            <w:tcW w:w="1675" w:type="pct"/>
            <w:tcBorders>
              <w:top w:val="single" w:sz="4" w:space="0" w:color="auto"/>
              <w:left w:val="single" w:sz="4" w:space="0" w:color="auto"/>
              <w:bottom w:val="single" w:sz="4" w:space="0" w:color="auto"/>
              <w:right w:val="single" w:sz="4" w:space="0" w:color="auto"/>
            </w:tcBorders>
            <w:vAlign w:val="center"/>
          </w:tcPr>
          <w:p w:rsidR="00DE7115" w:rsidRPr="00CD5685" w:rsidRDefault="00DE7115" w:rsidP="00DE7115">
            <w:pPr>
              <w:jc w:val="right"/>
              <w:rPr>
                <w:sz w:val="20"/>
                <w:szCs w:val="20"/>
              </w:rPr>
            </w:pPr>
            <w:r w:rsidRPr="00CD5685">
              <w:rPr>
                <w:rFonts w:eastAsia="等线"/>
                <w:color w:val="000000"/>
                <w:sz w:val="22"/>
                <w:szCs w:val="22"/>
              </w:rPr>
              <w:t xml:space="preserve">     -3,770.82 </w:t>
            </w:r>
          </w:p>
        </w:tc>
      </w:tr>
    </w:tbl>
    <w:p w:rsidR="00EA4850" w:rsidRPr="00CD5685" w:rsidRDefault="00EA4850" w:rsidP="00820817">
      <w:pPr>
        <w:spacing w:line="360" w:lineRule="auto"/>
        <w:ind w:firstLineChars="198" w:firstLine="416"/>
        <w:contextualSpacing/>
      </w:pPr>
      <w:r w:rsidRPr="00CD5685">
        <w:t>以上</w:t>
      </w:r>
      <w:r w:rsidRPr="00CD5685">
        <w:t>201</w:t>
      </w:r>
      <w:r w:rsidR="001C1D55" w:rsidRPr="00CD5685">
        <w:t>6</w:t>
      </w:r>
      <w:r w:rsidRPr="00CD5685">
        <w:t>年财务数据经立信中联会计师事务所（特殊普通合伙）审计并出具立信中联审字（</w:t>
      </w:r>
      <w:r w:rsidR="00D91E95" w:rsidRPr="00CD5685">
        <w:t>2017</w:t>
      </w:r>
      <w:r w:rsidRPr="00CD5685">
        <w:t>）</w:t>
      </w:r>
      <w:r w:rsidRPr="00CD5685">
        <w:t>D-</w:t>
      </w:r>
      <w:r w:rsidR="003F4CF3" w:rsidRPr="00CD5685">
        <w:t>00</w:t>
      </w:r>
      <w:r w:rsidR="00D91E95" w:rsidRPr="00CD5685">
        <w:t>49</w:t>
      </w:r>
      <w:r w:rsidRPr="00CD5685">
        <w:t>号审计报告。</w:t>
      </w:r>
    </w:p>
    <w:p w:rsidR="00EA4850" w:rsidRPr="00CD5685" w:rsidRDefault="00EA4850" w:rsidP="001C1D55">
      <w:pPr>
        <w:autoSpaceDE w:val="0"/>
        <w:autoSpaceDN w:val="0"/>
        <w:adjustRightInd w:val="0"/>
        <w:spacing w:line="360" w:lineRule="auto"/>
        <w:ind w:firstLineChars="200" w:firstLine="480"/>
        <w:rPr>
          <w:sz w:val="24"/>
        </w:rPr>
      </w:pPr>
      <w:r w:rsidRPr="00CD5685">
        <w:rPr>
          <w:kern w:val="0"/>
          <w:sz w:val="24"/>
        </w:rPr>
        <w:t>（八）</w:t>
      </w:r>
      <w:r w:rsidR="001C1D55" w:rsidRPr="00CD5685">
        <w:rPr>
          <w:sz w:val="24"/>
        </w:rPr>
        <w:t>抵押项目概况</w:t>
      </w:r>
    </w:p>
    <w:tbl>
      <w:tblPr>
        <w:tblStyle w:val="a5"/>
        <w:tblW w:w="5006" w:type="pct"/>
        <w:jc w:val="center"/>
        <w:tblInd w:w="226" w:type="dxa"/>
        <w:tblLook w:val="04A0"/>
      </w:tblPr>
      <w:tblGrid>
        <w:gridCol w:w="1815"/>
        <w:gridCol w:w="2329"/>
        <w:gridCol w:w="1241"/>
        <w:gridCol w:w="683"/>
        <w:gridCol w:w="1155"/>
        <w:gridCol w:w="761"/>
        <w:gridCol w:w="973"/>
      </w:tblGrid>
      <w:tr w:rsidR="00316485" w:rsidRPr="00CD5685" w:rsidTr="00E1568E">
        <w:trPr>
          <w:jc w:val="center"/>
        </w:trPr>
        <w:tc>
          <w:tcPr>
            <w:tcW w:w="1013" w:type="pct"/>
            <w:vAlign w:val="center"/>
          </w:tcPr>
          <w:p w:rsidR="001829EB" w:rsidRPr="00CD5685" w:rsidRDefault="001829EB" w:rsidP="001829EB">
            <w:pPr>
              <w:jc w:val="center"/>
              <w:rPr>
                <w:b/>
                <w:szCs w:val="21"/>
              </w:rPr>
            </w:pPr>
            <w:r w:rsidRPr="00CD5685">
              <w:rPr>
                <w:b/>
                <w:szCs w:val="21"/>
              </w:rPr>
              <w:t>地块名称</w:t>
            </w:r>
          </w:p>
        </w:tc>
        <w:tc>
          <w:tcPr>
            <w:tcW w:w="1300" w:type="pct"/>
            <w:vAlign w:val="center"/>
          </w:tcPr>
          <w:p w:rsidR="001829EB" w:rsidRPr="00CD5685" w:rsidRDefault="001829EB" w:rsidP="001829EB">
            <w:pPr>
              <w:jc w:val="center"/>
              <w:rPr>
                <w:b/>
                <w:szCs w:val="21"/>
              </w:rPr>
            </w:pPr>
            <w:r w:rsidRPr="00CD5685">
              <w:rPr>
                <w:b/>
                <w:szCs w:val="21"/>
              </w:rPr>
              <w:t>土地位置</w:t>
            </w:r>
          </w:p>
        </w:tc>
        <w:tc>
          <w:tcPr>
            <w:tcW w:w="693" w:type="pct"/>
            <w:vAlign w:val="center"/>
          </w:tcPr>
          <w:p w:rsidR="001829EB" w:rsidRPr="00CD5685" w:rsidRDefault="001829EB" w:rsidP="001829EB">
            <w:pPr>
              <w:jc w:val="center"/>
              <w:rPr>
                <w:b/>
                <w:szCs w:val="21"/>
              </w:rPr>
            </w:pPr>
            <w:r w:rsidRPr="00CD5685">
              <w:rPr>
                <w:b/>
                <w:szCs w:val="21"/>
              </w:rPr>
              <w:t>土地面积（平方米）</w:t>
            </w:r>
          </w:p>
        </w:tc>
        <w:tc>
          <w:tcPr>
            <w:tcW w:w="381" w:type="pct"/>
            <w:vAlign w:val="center"/>
          </w:tcPr>
          <w:p w:rsidR="001829EB" w:rsidRPr="00CD5685" w:rsidRDefault="001829EB" w:rsidP="001829EB">
            <w:pPr>
              <w:jc w:val="center"/>
              <w:rPr>
                <w:b/>
                <w:szCs w:val="21"/>
              </w:rPr>
            </w:pPr>
            <w:r w:rsidRPr="00CD5685">
              <w:rPr>
                <w:b/>
                <w:szCs w:val="21"/>
              </w:rPr>
              <w:t>容积率</w:t>
            </w:r>
          </w:p>
        </w:tc>
        <w:tc>
          <w:tcPr>
            <w:tcW w:w="645" w:type="pct"/>
            <w:vAlign w:val="center"/>
          </w:tcPr>
          <w:p w:rsidR="001829EB" w:rsidRPr="00CD5685" w:rsidRDefault="001829EB" w:rsidP="001829EB">
            <w:pPr>
              <w:jc w:val="center"/>
              <w:rPr>
                <w:b/>
                <w:szCs w:val="21"/>
              </w:rPr>
            </w:pPr>
            <w:r w:rsidRPr="00CD5685">
              <w:rPr>
                <w:b/>
                <w:szCs w:val="21"/>
              </w:rPr>
              <w:t>土地用途</w:t>
            </w:r>
          </w:p>
        </w:tc>
        <w:tc>
          <w:tcPr>
            <w:tcW w:w="425" w:type="pct"/>
            <w:vAlign w:val="center"/>
          </w:tcPr>
          <w:p w:rsidR="001829EB" w:rsidRPr="00CD5685" w:rsidRDefault="001829EB" w:rsidP="001829EB">
            <w:pPr>
              <w:jc w:val="center"/>
              <w:rPr>
                <w:b/>
                <w:szCs w:val="21"/>
              </w:rPr>
            </w:pPr>
            <w:r w:rsidRPr="00CD5685">
              <w:rPr>
                <w:b/>
                <w:szCs w:val="21"/>
              </w:rPr>
              <w:t>绿地率</w:t>
            </w:r>
          </w:p>
        </w:tc>
        <w:tc>
          <w:tcPr>
            <w:tcW w:w="543" w:type="pct"/>
            <w:vAlign w:val="center"/>
          </w:tcPr>
          <w:p w:rsidR="001829EB" w:rsidRPr="00CD5685" w:rsidRDefault="001829EB" w:rsidP="001829EB">
            <w:pPr>
              <w:jc w:val="center"/>
              <w:rPr>
                <w:b/>
                <w:szCs w:val="21"/>
              </w:rPr>
            </w:pPr>
            <w:r w:rsidRPr="00CD5685">
              <w:rPr>
                <w:b/>
                <w:szCs w:val="21"/>
              </w:rPr>
              <w:t>出让年限（年）</w:t>
            </w:r>
          </w:p>
        </w:tc>
      </w:tr>
      <w:tr w:rsidR="00316485" w:rsidRPr="00CD5685" w:rsidTr="00E1568E">
        <w:trPr>
          <w:jc w:val="center"/>
        </w:trPr>
        <w:tc>
          <w:tcPr>
            <w:tcW w:w="1013" w:type="pct"/>
            <w:vAlign w:val="center"/>
          </w:tcPr>
          <w:p w:rsidR="001829EB" w:rsidRPr="00CD5685" w:rsidRDefault="001C1D55" w:rsidP="00737D5C">
            <w:pPr>
              <w:jc w:val="left"/>
              <w:rPr>
                <w:szCs w:val="21"/>
              </w:rPr>
            </w:pPr>
            <w:r w:rsidRPr="00CD5685">
              <w:rPr>
                <w:szCs w:val="21"/>
              </w:rPr>
              <w:t>番府国用（</w:t>
            </w:r>
            <w:r w:rsidRPr="00CD5685">
              <w:rPr>
                <w:szCs w:val="21"/>
              </w:rPr>
              <w:t>2000</w:t>
            </w:r>
            <w:r w:rsidRPr="00CD5685">
              <w:rPr>
                <w:szCs w:val="21"/>
              </w:rPr>
              <w:t>）字第</w:t>
            </w:r>
            <w:r w:rsidRPr="00CD5685">
              <w:rPr>
                <w:szCs w:val="21"/>
              </w:rPr>
              <w:t>13-001904</w:t>
            </w:r>
            <w:r w:rsidRPr="00CD5685">
              <w:rPr>
                <w:szCs w:val="21"/>
              </w:rPr>
              <w:t>、</w:t>
            </w:r>
            <w:r w:rsidRPr="00CD5685">
              <w:rPr>
                <w:szCs w:val="21"/>
              </w:rPr>
              <w:t>13-000125</w:t>
            </w:r>
            <w:r w:rsidRPr="00CD5685">
              <w:rPr>
                <w:szCs w:val="21"/>
              </w:rPr>
              <w:t>号</w:t>
            </w:r>
          </w:p>
        </w:tc>
        <w:tc>
          <w:tcPr>
            <w:tcW w:w="1300" w:type="pct"/>
            <w:vAlign w:val="center"/>
          </w:tcPr>
          <w:p w:rsidR="001829EB" w:rsidRPr="00CD5685" w:rsidRDefault="001C1D55" w:rsidP="001829EB">
            <w:pPr>
              <w:jc w:val="center"/>
              <w:rPr>
                <w:szCs w:val="21"/>
              </w:rPr>
            </w:pPr>
            <w:r w:rsidRPr="00CD5685">
              <w:rPr>
                <w:szCs w:val="21"/>
              </w:rPr>
              <w:t>广州南沙开发区环市大道北万国园第七期用地</w:t>
            </w:r>
          </w:p>
        </w:tc>
        <w:tc>
          <w:tcPr>
            <w:tcW w:w="693" w:type="pct"/>
            <w:vAlign w:val="center"/>
          </w:tcPr>
          <w:p w:rsidR="001829EB" w:rsidRPr="00CD5685" w:rsidRDefault="001C1D55" w:rsidP="00E30C6C">
            <w:pPr>
              <w:jc w:val="center"/>
              <w:rPr>
                <w:szCs w:val="21"/>
              </w:rPr>
            </w:pPr>
            <w:r w:rsidRPr="00CD5685">
              <w:rPr>
                <w:szCs w:val="21"/>
              </w:rPr>
              <w:t>30700.3</w:t>
            </w:r>
          </w:p>
        </w:tc>
        <w:tc>
          <w:tcPr>
            <w:tcW w:w="381" w:type="pct"/>
            <w:vAlign w:val="center"/>
          </w:tcPr>
          <w:p w:rsidR="001829EB" w:rsidRPr="00E1568E" w:rsidRDefault="003406BF" w:rsidP="001829EB">
            <w:pPr>
              <w:jc w:val="center"/>
              <w:rPr>
                <w:szCs w:val="21"/>
              </w:rPr>
            </w:pPr>
            <w:r w:rsidRPr="00E1568E">
              <w:rPr>
                <w:szCs w:val="21"/>
              </w:rPr>
              <w:t>3.5</w:t>
            </w:r>
          </w:p>
        </w:tc>
        <w:tc>
          <w:tcPr>
            <w:tcW w:w="645" w:type="pct"/>
            <w:vAlign w:val="center"/>
          </w:tcPr>
          <w:p w:rsidR="001829EB" w:rsidRPr="00CD5685" w:rsidRDefault="00E71F61" w:rsidP="001829EB">
            <w:pPr>
              <w:jc w:val="center"/>
              <w:rPr>
                <w:szCs w:val="21"/>
              </w:rPr>
            </w:pPr>
            <w:r w:rsidRPr="00CD5685">
              <w:rPr>
                <w:szCs w:val="21"/>
              </w:rPr>
              <w:t>二类居住用地</w:t>
            </w:r>
          </w:p>
        </w:tc>
        <w:tc>
          <w:tcPr>
            <w:tcW w:w="425" w:type="pct"/>
            <w:vAlign w:val="center"/>
          </w:tcPr>
          <w:p w:rsidR="001829EB" w:rsidRPr="00CD5685" w:rsidRDefault="00E71F61" w:rsidP="001829EB">
            <w:pPr>
              <w:jc w:val="center"/>
              <w:rPr>
                <w:szCs w:val="21"/>
              </w:rPr>
            </w:pPr>
            <w:r w:rsidRPr="00CD5685">
              <w:rPr>
                <w:szCs w:val="21"/>
              </w:rPr>
              <w:t>35.3%</w:t>
            </w:r>
          </w:p>
        </w:tc>
        <w:tc>
          <w:tcPr>
            <w:tcW w:w="543" w:type="pct"/>
            <w:vAlign w:val="center"/>
          </w:tcPr>
          <w:p w:rsidR="001829EB" w:rsidRPr="00CD5685" w:rsidRDefault="00CD5685" w:rsidP="00CD5685">
            <w:pPr>
              <w:jc w:val="center"/>
              <w:rPr>
                <w:szCs w:val="21"/>
              </w:rPr>
            </w:pPr>
            <w:r w:rsidRPr="00CD5685">
              <w:rPr>
                <w:szCs w:val="21"/>
              </w:rPr>
              <w:t xml:space="preserve">70 </w:t>
            </w:r>
          </w:p>
        </w:tc>
      </w:tr>
      <w:tr w:rsidR="001C1D55" w:rsidRPr="00CD5685" w:rsidTr="00E1568E">
        <w:trPr>
          <w:jc w:val="center"/>
        </w:trPr>
        <w:tc>
          <w:tcPr>
            <w:tcW w:w="1013" w:type="pct"/>
            <w:vAlign w:val="center"/>
          </w:tcPr>
          <w:p w:rsidR="001C1D55" w:rsidRPr="00CD5685" w:rsidRDefault="00737D5C" w:rsidP="00737D5C">
            <w:pPr>
              <w:jc w:val="left"/>
              <w:rPr>
                <w:szCs w:val="21"/>
              </w:rPr>
            </w:pPr>
            <w:r w:rsidRPr="00CD5685">
              <w:rPr>
                <w:szCs w:val="21"/>
              </w:rPr>
              <w:t>番府国用（</w:t>
            </w:r>
            <w:r w:rsidRPr="00CD5685">
              <w:rPr>
                <w:szCs w:val="21"/>
              </w:rPr>
              <w:t>2000</w:t>
            </w:r>
            <w:r w:rsidRPr="00CD5685">
              <w:rPr>
                <w:szCs w:val="21"/>
              </w:rPr>
              <w:t>）字第</w:t>
            </w:r>
            <w:r w:rsidRPr="00CD5685">
              <w:rPr>
                <w:szCs w:val="21"/>
              </w:rPr>
              <w:t>13-001906</w:t>
            </w:r>
            <w:r w:rsidRPr="00CD5685">
              <w:rPr>
                <w:szCs w:val="21"/>
              </w:rPr>
              <w:t>、</w:t>
            </w:r>
            <w:r w:rsidRPr="00CD5685">
              <w:rPr>
                <w:szCs w:val="21"/>
              </w:rPr>
              <w:t>13-000127</w:t>
            </w:r>
            <w:r w:rsidRPr="00CD5685">
              <w:rPr>
                <w:szCs w:val="21"/>
              </w:rPr>
              <w:t>号</w:t>
            </w:r>
          </w:p>
        </w:tc>
        <w:tc>
          <w:tcPr>
            <w:tcW w:w="1300" w:type="pct"/>
            <w:vAlign w:val="center"/>
          </w:tcPr>
          <w:p w:rsidR="001C1D55" w:rsidRPr="00CD5685" w:rsidRDefault="00737D5C" w:rsidP="001829EB">
            <w:pPr>
              <w:jc w:val="center"/>
              <w:rPr>
                <w:szCs w:val="21"/>
              </w:rPr>
            </w:pPr>
            <w:r w:rsidRPr="00CD5685">
              <w:rPr>
                <w:szCs w:val="21"/>
              </w:rPr>
              <w:t>广州南沙开发区环市大道北万国园第九期用地</w:t>
            </w:r>
          </w:p>
        </w:tc>
        <w:tc>
          <w:tcPr>
            <w:tcW w:w="693" w:type="pct"/>
            <w:vAlign w:val="center"/>
          </w:tcPr>
          <w:p w:rsidR="001C1D55" w:rsidRPr="00CD5685" w:rsidRDefault="00737D5C" w:rsidP="00E30C6C">
            <w:pPr>
              <w:jc w:val="center"/>
              <w:rPr>
                <w:szCs w:val="21"/>
              </w:rPr>
            </w:pPr>
            <w:r w:rsidRPr="00CD5685">
              <w:rPr>
                <w:szCs w:val="21"/>
              </w:rPr>
              <w:t>11277.0</w:t>
            </w:r>
          </w:p>
        </w:tc>
        <w:tc>
          <w:tcPr>
            <w:tcW w:w="381" w:type="pct"/>
            <w:vAlign w:val="center"/>
          </w:tcPr>
          <w:p w:rsidR="001C1D55" w:rsidRPr="00E1568E" w:rsidRDefault="00331F5F" w:rsidP="001829EB">
            <w:pPr>
              <w:jc w:val="center"/>
              <w:rPr>
                <w:szCs w:val="21"/>
              </w:rPr>
            </w:pPr>
            <w:r>
              <w:rPr>
                <w:rFonts w:hint="eastAsia"/>
                <w:szCs w:val="21"/>
              </w:rPr>
              <w:t>4</w:t>
            </w:r>
            <w:r w:rsidR="004F5AE2" w:rsidRPr="00E1568E">
              <w:rPr>
                <w:szCs w:val="21"/>
              </w:rPr>
              <w:t>.</w:t>
            </w:r>
            <w:r>
              <w:rPr>
                <w:rFonts w:hint="eastAsia"/>
                <w:szCs w:val="21"/>
              </w:rPr>
              <w:t>5</w:t>
            </w:r>
          </w:p>
        </w:tc>
        <w:tc>
          <w:tcPr>
            <w:tcW w:w="645" w:type="pct"/>
            <w:vAlign w:val="center"/>
          </w:tcPr>
          <w:p w:rsidR="001C1D55" w:rsidRPr="00CD5685" w:rsidRDefault="008D2F14" w:rsidP="001829EB">
            <w:pPr>
              <w:jc w:val="center"/>
              <w:rPr>
                <w:szCs w:val="21"/>
              </w:rPr>
            </w:pPr>
            <w:r w:rsidRPr="00CD5685">
              <w:rPr>
                <w:szCs w:val="21"/>
              </w:rPr>
              <w:t>商住用地</w:t>
            </w:r>
          </w:p>
        </w:tc>
        <w:tc>
          <w:tcPr>
            <w:tcW w:w="425" w:type="pct"/>
            <w:vAlign w:val="center"/>
          </w:tcPr>
          <w:p w:rsidR="001C1D55" w:rsidRPr="00CD5685" w:rsidRDefault="001C1D55" w:rsidP="001829EB">
            <w:pPr>
              <w:jc w:val="center"/>
              <w:rPr>
                <w:szCs w:val="21"/>
              </w:rPr>
            </w:pPr>
          </w:p>
        </w:tc>
        <w:tc>
          <w:tcPr>
            <w:tcW w:w="543" w:type="pct"/>
            <w:vAlign w:val="center"/>
          </w:tcPr>
          <w:p w:rsidR="001C1D55" w:rsidRPr="00CD5685" w:rsidRDefault="00CD5685" w:rsidP="001829EB">
            <w:pPr>
              <w:jc w:val="center"/>
              <w:rPr>
                <w:szCs w:val="21"/>
              </w:rPr>
            </w:pPr>
            <w:r w:rsidRPr="00CD5685">
              <w:rPr>
                <w:szCs w:val="21"/>
              </w:rPr>
              <w:t>70</w:t>
            </w:r>
          </w:p>
        </w:tc>
      </w:tr>
    </w:tbl>
    <w:p w:rsidR="00460979" w:rsidRPr="00CD5685" w:rsidRDefault="00460979" w:rsidP="00820817">
      <w:pPr>
        <w:spacing w:line="360" w:lineRule="auto"/>
        <w:ind w:firstLineChars="200" w:firstLine="480"/>
        <w:rPr>
          <w:sz w:val="24"/>
        </w:rPr>
      </w:pPr>
    </w:p>
    <w:p w:rsidR="008563EA" w:rsidRPr="00CD5685" w:rsidRDefault="008563EA" w:rsidP="00E1568E">
      <w:pPr>
        <w:spacing w:line="360" w:lineRule="auto"/>
        <w:ind w:firstLineChars="196" w:firstLine="472"/>
        <w:rPr>
          <w:b/>
          <w:kern w:val="0"/>
          <w:sz w:val="24"/>
        </w:rPr>
      </w:pPr>
      <w:r w:rsidRPr="00CD5685">
        <w:rPr>
          <w:b/>
          <w:kern w:val="0"/>
          <w:sz w:val="24"/>
        </w:rPr>
        <w:t>三、本次交易拟签署协议的主要内容</w:t>
      </w:r>
    </w:p>
    <w:p w:rsidR="00DE7115" w:rsidRPr="00CD5685" w:rsidRDefault="00737D5C" w:rsidP="00E1568E">
      <w:pPr>
        <w:autoSpaceDE w:val="0"/>
        <w:autoSpaceDN w:val="0"/>
        <w:adjustRightInd w:val="0"/>
        <w:spacing w:line="360" w:lineRule="auto"/>
        <w:ind w:firstLineChars="200" w:firstLine="480"/>
        <w:rPr>
          <w:sz w:val="24"/>
        </w:rPr>
      </w:pPr>
      <w:r w:rsidRPr="00CD5685">
        <w:rPr>
          <w:sz w:val="24"/>
        </w:rPr>
        <w:t>浙金信托作为信托计划受托人以不超过</w:t>
      </w:r>
      <w:r w:rsidRPr="00CD5685">
        <w:rPr>
          <w:sz w:val="24"/>
        </w:rPr>
        <w:t>9</w:t>
      </w:r>
      <w:r w:rsidRPr="00CD5685">
        <w:rPr>
          <w:sz w:val="24"/>
        </w:rPr>
        <w:t>亿元受让公司持有</w:t>
      </w:r>
      <w:r w:rsidRPr="00CD5685">
        <w:rPr>
          <w:sz w:val="24"/>
        </w:rPr>
        <w:t>100%</w:t>
      </w:r>
      <w:r w:rsidRPr="00CD5685">
        <w:rPr>
          <w:sz w:val="24"/>
        </w:rPr>
        <w:t>权益的子公司上海富利腾</w:t>
      </w:r>
      <w:r w:rsidR="00770B63" w:rsidRPr="00CD5685">
        <w:rPr>
          <w:sz w:val="24"/>
        </w:rPr>
        <w:t>房地产</w:t>
      </w:r>
      <w:r w:rsidRPr="00CD5685">
        <w:rPr>
          <w:sz w:val="24"/>
        </w:rPr>
        <w:t>对上海臻百利</w:t>
      </w:r>
      <w:r w:rsidR="00770B63" w:rsidRPr="00CD5685">
        <w:rPr>
          <w:sz w:val="24"/>
        </w:rPr>
        <w:t>房地产</w:t>
      </w:r>
      <w:r w:rsidRPr="00CD5685">
        <w:rPr>
          <w:sz w:val="24"/>
        </w:rPr>
        <w:t>享有不超过</w:t>
      </w:r>
      <w:r w:rsidRPr="00CD5685">
        <w:rPr>
          <w:sz w:val="24"/>
        </w:rPr>
        <w:t>9</w:t>
      </w:r>
      <w:r w:rsidRPr="00CD5685">
        <w:rPr>
          <w:sz w:val="24"/>
        </w:rPr>
        <w:t>亿元的应收债权收益权，期限</w:t>
      </w:r>
      <w:r w:rsidRPr="00CD5685">
        <w:rPr>
          <w:sz w:val="24"/>
        </w:rPr>
        <w:t>1</w:t>
      </w:r>
      <w:r w:rsidRPr="00CD5685">
        <w:rPr>
          <w:sz w:val="24"/>
        </w:rPr>
        <w:t>年，受让完成后，浙金信托持有上海富利腾</w:t>
      </w:r>
      <w:r w:rsidR="00770B63" w:rsidRPr="00CD5685">
        <w:rPr>
          <w:sz w:val="24"/>
        </w:rPr>
        <w:t>房地产</w:t>
      </w:r>
      <w:r w:rsidRPr="00CD5685">
        <w:rPr>
          <w:sz w:val="24"/>
        </w:rPr>
        <w:t>对上海臻百利</w:t>
      </w:r>
      <w:r w:rsidR="00770B63" w:rsidRPr="00CD5685">
        <w:rPr>
          <w:sz w:val="24"/>
        </w:rPr>
        <w:t>房地产</w:t>
      </w:r>
      <w:r w:rsidRPr="00CD5685">
        <w:rPr>
          <w:sz w:val="24"/>
        </w:rPr>
        <w:t>不超过</w:t>
      </w:r>
      <w:r w:rsidRPr="00CD5685">
        <w:rPr>
          <w:sz w:val="24"/>
        </w:rPr>
        <w:t>9</w:t>
      </w:r>
      <w:r w:rsidRPr="00CD5685">
        <w:rPr>
          <w:sz w:val="24"/>
        </w:rPr>
        <w:t>亿元债权，</w:t>
      </w:r>
      <w:r w:rsidR="00AD4A8F" w:rsidRPr="00CD5685">
        <w:rPr>
          <w:sz w:val="24"/>
        </w:rPr>
        <w:t>上海富利腾房地产到期回购标的应收债权，</w:t>
      </w:r>
      <w:r w:rsidRPr="00CD5685">
        <w:rPr>
          <w:sz w:val="24"/>
        </w:rPr>
        <w:t>作为担保：逸涛万国以其持有的位于广州市南沙区万国</w:t>
      </w:r>
      <w:r w:rsidRPr="00CD5685">
        <w:rPr>
          <w:sz w:val="24"/>
        </w:rPr>
        <w:t>7</w:t>
      </w:r>
      <w:r w:rsidRPr="00CD5685">
        <w:rPr>
          <w:sz w:val="24"/>
        </w:rPr>
        <w:t>期和</w:t>
      </w:r>
      <w:r w:rsidRPr="00CD5685">
        <w:rPr>
          <w:sz w:val="24"/>
        </w:rPr>
        <w:t>9</w:t>
      </w:r>
      <w:r w:rsidRPr="00CD5685">
        <w:rPr>
          <w:sz w:val="24"/>
        </w:rPr>
        <w:t>期土地所有权</w:t>
      </w:r>
      <w:r w:rsidR="00770B63" w:rsidRPr="00CD5685">
        <w:rPr>
          <w:sz w:val="24"/>
        </w:rPr>
        <w:t>提供抵押</w:t>
      </w:r>
      <w:r w:rsidRPr="00CD5685">
        <w:rPr>
          <w:sz w:val="24"/>
        </w:rPr>
        <w:t>，</w:t>
      </w:r>
      <w:r w:rsidR="00DE7115" w:rsidRPr="00CD5685">
        <w:rPr>
          <w:sz w:val="24"/>
        </w:rPr>
        <w:t>公司为本次交易中</w:t>
      </w:r>
      <w:r w:rsidR="00CD5685" w:rsidRPr="00CD5685">
        <w:rPr>
          <w:sz w:val="24"/>
        </w:rPr>
        <w:t>6</w:t>
      </w:r>
      <w:r w:rsidR="00DE7115" w:rsidRPr="00CD5685">
        <w:rPr>
          <w:sz w:val="24"/>
        </w:rPr>
        <w:t>亿元提供连带责任保证担保。</w:t>
      </w:r>
    </w:p>
    <w:p w:rsidR="00AB79C0" w:rsidRPr="00CD5685" w:rsidRDefault="00AB79C0" w:rsidP="00E1568E">
      <w:pPr>
        <w:autoSpaceDE w:val="0"/>
        <w:autoSpaceDN w:val="0"/>
        <w:adjustRightInd w:val="0"/>
        <w:spacing w:line="360" w:lineRule="auto"/>
        <w:ind w:firstLineChars="200" w:firstLine="480"/>
        <w:rPr>
          <w:sz w:val="24"/>
        </w:rPr>
      </w:pPr>
      <w:r w:rsidRPr="00CD5685">
        <w:rPr>
          <w:sz w:val="24"/>
        </w:rPr>
        <w:lastRenderedPageBreak/>
        <w:t>保证范围为主合同项下的</w:t>
      </w:r>
      <w:r w:rsidR="00E038FC" w:rsidRPr="00A67CAB">
        <w:rPr>
          <w:rFonts w:hint="eastAsia"/>
          <w:sz w:val="24"/>
        </w:rPr>
        <w:t>主债权及资金占用费、违约金、损害赔偿金、罚金、债务人应向债权人支付的其他款项和债权人实现债权与担保权利而发生的费用。实现债权与担保权利的费用包括但不限于催收费用、诉讼费、仲裁费、保全费、执行费、评估费、拍卖费、公证费、送达费、公告费、律师费、差旅费及其他费用。</w:t>
      </w:r>
      <w:r w:rsidRPr="00CD5685">
        <w:rPr>
          <w:sz w:val="24"/>
        </w:rPr>
        <w:t>保证合同期限为自对应主合同确定的</w:t>
      </w:r>
      <w:r w:rsidR="00E038FC" w:rsidRPr="00A67CAB">
        <w:rPr>
          <w:rFonts w:hint="eastAsia"/>
          <w:sz w:val="24"/>
        </w:rPr>
        <w:t>债务履行期届满之日起两年</w:t>
      </w:r>
      <w:r w:rsidRPr="00CD5685">
        <w:rPr>
          <w:sz w:val="24"/>
        </w:rPr>
        <w:t>。</w:t>
      </w:r>
    </w:p>
    <w:p w:rsidR="00AB79C0" w:rsidRPr="00CD5685" w:rsidRDefault="00AB79C0" w:rsidP="00E1568E">
      <w:pPr>
        <w:spacing w:line="360" w:lineRule="auto"/>
        <w:ind w:firstLineChars="196" w:firstLine="470"/>
        <w:rPr>
          <w:sz w:val="24"/>
        </w:rPr>
      </w:pPr>
      <w:r w:rsidRPr="00CD5685">
        <w:rPr>
          <w:sz w:val="24"/>
        </w:rPr>
        <w:t>具体条款以各方签署合同为准。</w:t>
      </w:r>
    </w:p>
    <w:p w:rsidR="00AB79C0" w:rsidRPr="00CD5685" w:rsidRDefault="00AB79C0" w:rsidP="00E1568E">
      <w:pPr>
        <w:spacing w:line="360" w:lineRule="auto"/>
        <w:ind w:firstLineChars="196" w:firstLine="470"/>
        <w:rPr>
          <w:sz w:val="24"/>
        </w:rPr>
      </w:pPr>
    </w:p>
    <w:p w:rsidR="00AB79C0" w:rsidRPr="00CD5685" w:rsidRDefault="00AB79C0" w:rsidP="00E1568E">
      <w:pPr>
        <w:spacing w:line="360" w:lineRule="auto"/>
        <w:ind w:firstLineChars="196" w:firstLine="472"/>
        <w:rPr>
          <w:b/>
          <w:sz w:val="24"/>
        </w:rPr>
      </w:pPr>
      <w:r w:rsidRPr="00CD5685">
        <w:rPr>
          <w:b/>
          <w:sz w:val="24"/>
        </w:rPr>
        <w:t>四、董事会意见</w:t>
      </w:r>
    </w:p>
    <w:p w:rsidR="00B44B6E" w:rsidRPr="00CD5685" w:rsidRDefault="00B44B6E" w:rsidP="00E1568E">
      <w:pPr>
        <w:spacing w:line="360" w:lineRule="auto"/>
        <w:ind w:firstLineChars="196" w:firstLine="470"/>
        <w:rPr>
          <w:sz w:val="24"/>
        </w:rPr>
      </w:pPr>
      <w:r w:rsidRPr="00CD5685">
        <w:rPr>
          <w:sz w:val="24"/>
        </w:rPr>
        <w:t>董事局认为，本次担保是为了满足公司</w:t>
      </w:r>
      <w:r w:rsidRPr="00CD5685">
        <w:rPr>
          <w:sz w:val="24"/>
        </w:rPr>
        <w:t>2017</w:t>
      </w:r>
      <w:r w:rsidRPr="00CD5685">
        <w:rPr>
          <w:sz w:val="24"/>
        </w:rPr>
        <w:t>年度经营融资需要，增强上海臻百利房地产的资金配套能力，且上海臻百利房地产系公司合并会计报告单位，公司对于下属全资子公司和控股子公司日常经营活动具有绝对控制权，财务风险处于公司的可控范围之内，上海臻百利房地产具备良好的偿债能力，担保风险较小。本次公司对上海臻百利房地产的担保，不会对公司及子公司生产经营产生不利影响，不会影响公司持续经营能力，不会损害公司及中小股东利益。</w:t>
      </w:r>
    </w:p>
    <w:p w:rsidR="00F97F66" w:rsidRPr="00CD5685" w:rsidRDefault="00F97F66" w:rsidP="00E1568E">
      <w:pPr>
        <w:spacing w:line="360" w:lineRule="auto"/>
        <w:ind w:firstLineChars="196" w:firstLine="470"/>
        <w:rPr>
          <w:sz w:val="24"/>
        </w:rPr>
      </w:pPr>
    </w:p>
    <w:p w:rsidR="00F97F66" w:rsidRPr="00CD5685" w:rsidRDefault="00F97F66" w:rsidP="00E1568E">
      <w:pPr>
        <w:spacing w:line="360" w:lineRule="auto"/>
        <w:ind w:firstLineChars="196" w:firstLine="472"/>
        <w:rPr>
          <w:b/>
          <w:sz w:val="24"/>
        </w:rPr>
      </w:pPr>
      <w:r w:rsidRPr="00CD5685">
        <w:rPr>
          <w:b/>
          <w:sz w:val="24"/>
        </w:rPr>
        <w:t>五、累计对外担保金额及逾期担保的金额</w:t>
      </w:r>
    </w:p>
    <w:p w:rsidR="00E1568E" w:rsidRPr="00316485" w:rsidRDefault="00E1568E" w:rsidP="00E1568E">
      <w:pPr>
        <w:spacing w:line="360" w:lineRule="auto"/>
        <w:ind w:firstLineChars="196" w:firstLine="470"/>
        <w:rPr>
          <w:rFonts w:asciiTheme="minorEastAsia" w:eastAsiaTheme="minorEastAsia" w:hAnsiTheme="minorEastAsia" w:cs="宋体"/>
          <w:sz w:val="24"/>
        </w:rPr>
      </w:pPr>
      <w:r w:rsidRPr="00316485">
        <w:rPr>
          <w:rFonts w:ascii="宋体" w:hAnsi="宋体" w:cs="宋体" w:hint="eastAsia"/>
          <w:sz w:val="24"/>
        </w:rPr>
        <w:t>截至本公告出具日，公司累计对外担保额度</w:t>
      </w:r>
      <w:r w:rsidRPr="00917E82">
        <w:rPr>
          <w:rFonts w:ascii="宋体" w:hAnsi="宋体" w:cs="宋体" w:hint="eastAsia"/>
          <w:sz w:val="24"/>
        </w:rPr>
        <w:t>129</w:t>
      </w:r>
      <w:r>
        <w:rPr>
          <w:rFonts w:ascii="宋体" w:hAnsi="宋体" w:cs="宋体" w:hint="eastAsia"/>
          <w:sz w:val="24"/>
        </w:rPr>
        <w:t>6</w:t>
      </w:r>
      <w:r w:rsidRPr="00917E82">
        <w:rPr>
          <w:rFonts w:ascii="宋体" w:hAnsi="宋体" w:cs="宋体" w:hint="eastAsia"/>
          <w:sz w:val="24"/>
        </w:rPr>
        <w:t>.99</w:t>
      </w:r>
      <w:r w:rsidRPr="00316485">
        <w:rPr>
          <w:rFonts w:ascii="宋体" w:hAnsi="宋体" w:hint="eastAsia"/>
          <w:sz w:val="24"/>
        </w:rPr>
        <w:t>亿元，除为公司为全资及控股子公司提供的担保额度外，公司对外担保金额52.48亿</w:t>
      </w:r>
      <w:r w:rsidRPr="00316485">
        <w:rPr>
          <w:rFonts w:ascii="宋体" w:hAnsi="宋体" w:cs="宋体" w:hint="eastAsia"/>
          <w:sz w:val="24"/>
        </w:rPr>
        <w:t>元，公司及控股子公司不存在逾期担保、涉及诉讼担保的情况。</w:t>
      </w:r>
    </w:p>
    <w:p w:rsidR="00F17572" w:rsidRPr="00E1568E" w:rsidRDefault="00F17572" w:rsidP="00E1568E">
      <w:pPr>
        <w:spacing w:line="360" w:lineRule="auto"/>
        <w:ind w:firstLineChars="196" w:firstLine="470"/>
        <w:rPr>
          <w:sz w:val="24"/>
        </w:rPr>
      </w:pPr>
    </w:p>
    <w:p w:rsidR="00F17572" w:rsidRPr="00CD5685" w:rsidRDefault="00F17572" w:rsidP="00E1568E">
      <w:pPr>
        <w:spacing w:line="360" w:lineRule="auto"/>
        <w:ind w:firstLineChars="196" w:firstLine="472"/>
        <w:rPr>
          <w:b/>
          <w:sz w:val="24"/>
        </w:rPr>
      </w:pPr>
      <w:r w:rsidRPr="00CD5685">
        <w:rPr>
          <w:b/>
          <w:sz w:val="24"/>
        </w:rPr>
        <w:t>六、备查文件</w:t>
      </w:r>
    </w:p>
    <w:p w:rsidR="00F17572" w:rsidRPr="00CD5685" w:rsidRDefault="00F17572" w:rsidP="00E1568E">
      <w:pPr>
        <w:spacing w:line="360" w:lineRule="auto"/>
        <w:ind w:firstLineChars="196" w:firstLine="470"/>
        <w:rPr>
          <w:sz w:val="24"/>
        </w:rPr>
      </w:pPr>
      <w:r w:rsidRPr="00CD5685">
        <w:rPr>
          <w:sz w:val="24"/>
        </w:rPr>
        <w:t>（一）公司第九届董事局第二次会议决议；</w:t>
      </w:r>
    </w:p>
    <w:p w:rsidR="00F17572" w:rsidRPr="00CD5685" w:rsidRDefault="00F17572" w:rsidP="00E1568E">
      <w:pPr>
        <w:spacing w:line="360" w:lineRule="auto"/>
        <w:ind w:firstLineChars="196" w:firstLine="470"/>
        <w:rPr>
          <w:sz w:val="24"/>
        </w:rPr>
      </w:pPr>
      <w:r w:rsidRPr="00CD5685">
        <w:rPr>
          <w:sz w:val="24"/>
        </w:rPr>
        <w:t>（二）公司</w:t>
      </w:r>
      <w:r w:rsidRPr="00CD5685">
        <w:rPr>
          <w:sz w:val="24"/>
        </w:rPr>
        <w:t>2016</w:t>
      </w:r>
      <w:r w:rsidRPr="00CD5685">
        <w:rPr>
          <w:sz w:val="24"/>
        </w:rPr>
        <w:t>年年度股东大会决议；</w:t>
      </w:r>
    </w:p>
    <w:p w:rsidR="00F17572" w:rsidRDefault="00F17572" w:rsidP="00E1568E">
      <w:pPr>
        <w:spacing w:line="360" w:lineRule="auto"/>
        <w:ind w:firstLineChars="196" w:firstLine="470"/>
        <w:rPr>
          <w:sz w:val="24"/>
        </w:rPr>
      </w:pPr>
      <w:r w:rsidRPr="00CD5685">
        <w:rPr>
          <w:sz w:val="24"/>
        </w:rPr>
        <w:t>（三）公司本次交易的相关协议草案。</w:t>
      </w:r>
    </w:p>
    <w:p w:rsidR="00E1568E" w:rsidRPr="00CD5685" w:rsidRDefault="00E1568E" w:rsidP="00E1568E">
      <w:pPr>
        <w:spacing w:line="360" w:lineRule="auto"/>
        <w:ind w:firstLineChars="196" w:firstLine="470"/>
        <w:rPr>
          <w:sz w:val="24"/>
        </w:rPr>
      </w:pPr>
    </w:p>
    <w:p w:rsidR="00F17572" w:rsidRPr="00CD5685" w:rsidRDefault="00F17572" w:rsidP="00E1568E">
      <w:pPr>
        <w:spacing w:line="360" w:lineRule="auto"/>
        <w:ind w:firstLineChars="200" w:firstLine="480"/>
        <w:rPr>
          <w:sz w:val="24"/>
        </w:rPr>
      </w:pPr>
      <w:bookmarkStart w:id="0" w:name="_GoBack"/>
      <w:bookmarkEnd w:id="0"/>
      <w:r w:rsidRPr="00CD5685">
        <w:rPr>
          <w:sz w:val="24"/>
        </w:rPr>
        <w:t>特此公告。</w:t>
      </w:r>
    </w:p>
    <w:p w:rsidR="00E1568E" w:rsidRDefault="00E1568E" w:rsidP="00E1568E">
      <w:pPr>
        <w:widowControl/>
        <w:spacing w:line="360" w:lineRule="auto"/>
        <w:ind w:firstLineChars="200" w:firstLine="482"/>
        <w:jc w:val="right"/>
        <w:rPr>
          <w:b/>
          <w:kern w:val="0"/>
          <w:sz w:val="24"/>
        </w:rPr>
      </w:pPr>
    </w:p>
    <w:p w:rsidR="00F97F66" w:rsidRPr="00CD5685" w:rsidRDefault="00F97F66" w:rsidP="00E1568E">
      <w:pPr>
        <w:widowControl/>
        <w:spacing w:line="360" w:lineRule="auto"/>
        <w:ind w:firstLineChars="200" w:firstLine="482"/>
        <w:jc w:val="right"/>
        <w:rPr>
          <w:b/>
          <w:kern w:val="0"/>
          <w:sz w:val="24"/>
        </w:rPr>
      </w:pPr>
      <w:r w:rsidRPr="00CD5685">
        <w:rPr>
          <w:b/>
          <w:kern w:val="0"/>
          <w:sz w:val="24"/>
        </w:rPr>
        <w:t>阳光城集团股份有限公司</w:t>
      </w:r>
    </w:p>
    <w:p w:rsidR="00F97F66" w:rsidRPr="00CD5685" w:rsidRDefault="00F97F66" w:rsidP="00E1568E">
      <w:pPr>
        <w:widowControl/>
        <w:spacing w:line="360" w:lineRule="auto"/>
        <w:ind w:right="482" w:firstLineChars="200" w:firstLine="482"/>
        <w:jc w:val="right"/>
        <w:rPr>
          <w:b/>
          <w:kern w:val="0"/>
          <w:sz w:val="24"/>
        </w:rPr>
      </w:pPr>
      <w:r w:rsidRPr="00CD5685">
        <w:rPr>
          <w:b/>
          <w:kern w:val="0"/>
          <w:sz w:val="24"/>
        </w:rPr>
        <w:t>董事会</w:t>
      </w:r>
    </w:p>
    <w:p w:rsidR="002D6772" w:rsidRPr="00CD5685" w:rsidRDefault="00F97F66" w:rsidP="00E1568E">
      <w:pPr>
        <w:spacing w:line="360" w:lineRule="auto"/>
        <w:jc w:val="right"/>
      </w:pPr>
      <w:r w:rsidRPr="00CD5685">
        <w:rPr>
          <w:b/>
          <w:sz w:val="24"/>
        </w:rPr>
        <w:t>二</w:t>
      </w:r>
      <w:r w:rsidR="00E1568E">
        <w:rPr>
          <w:rFonts w:ascii="宋体" w:hAnsi="宋体" w:hint="eastAsia"/>
          <w:b/>
          <w:color w:val="000000"/>
          <w:sz w:val="24"/>
        </w:rPr>
        <w:t>○</w:t>
      </w:r>
      <w:r w:rsidRPr="00CD5685">
        <w:rPr>
          <w:b/>
          <w:sz w:val="24"/>
        </w:rPr>
        <w:t>一</w:t>
      </w:r>
      <w:r w:rsidR="00873137" w:rsidRPr="00CD5685">
        <w:rPr>
          <w:b/>
          <w:sz w:val="24"/>
        </w:rPr>
        <w:t>七</w:t>
      </w:r>
      <w:r w:rsidRPr="00CD5685">
        <w:rPr>
          <w:b/>
          <w:sz w:val="24"/>
        </w:rPr>
        <w:t>年</w:t>
      </w:r>
      <w:r w:rsidR="00F17572" w:rsidRPr="00CD5685">
        <w:rPr>
          <w:b/>
          <w:sz w:val="24"/>
        </w:rPr>
        <w:t>十一</w:t>
      </w:r>
      <w:r w:rsidRPr="00CD5685">
        <w:rPr>
          <w:b/>
          <w:sz w:val="24"/>
        </w:rPr>
        <w:t>月</w:t>
      </w:r>
      <w:r w:rsidR="00F17572" w:rsidRPr="00CD5685">
        <w:rPr>
          <w:b/>
          <w:sz w:val="24"/>
        </w:rPr>
        <w:t>九</w:t>
      </w:r>
      <w:r w:rsidRPr="00CD5685">
        <w:rPr>
          <w:b/>
          <w:sz w:val="24"/>
        </w:rPr>
        <w:t>日</w:t>
      </w:r>
    </w:p>
    <w:sectPr w:rsidR="002D6772" w:rsidRPr="00CD5685" w:rsidSect="00EA4B4D">
      <w:footerReference w:type="default" r:id="rId6"/>
      <w:pgSz w:w="11906" w:h="16838"/>
      <w:pgMar w:top="1361" w:right="1588" w:bottom="1361" w:left="1588" w:header="851" w:footer="850"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7DBA8" w16cid:durableId="1DAD4C8E"/>
  <w16cid:commentId w16cid:paraId="1D8F95C2" w16cid:durableId="1DAD4C8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32" w:rsidRDefault="00CA6E32" w:rsidP="00AA1FBE">
      <w:r>
        <w:separator/>
      </w:r>
    </w:p>
  </w:endnote>
  <w:endnote w:type="continuationSeparator" w:id="1">
    <w:p w:rsidR="00CA6E32" w:rsidRDefault="00CA6E32" w:rsidP="00AA1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4627"/>
      <w:docPartObj>
        <w:docPartGallery w:val="Page Numbers (Bottom of Page)"/>
        <w:docPartUnique/>
      </w:docPartObj>
    </w:sdtPr>
    <w:sdtContent>
      <w:p w:rsidR="00737D5C" w:rsidRDefault="00985233">
        <w:pPr>
          <w:pStyle w:val="a4"/>
          <w:jc w:val="center"/>
        </w:pPr>
        <w:r w:rsidRPr="00985233">
          <w:fldChar w:fldCharType="begin"/>
        </w:r>
        <w:r w:rsidR="00737D5C">
          <w:instrText xml:space="preserve"> PAGE   \* MERGEFORMAT </w:instrText>
        </w:r>
        <w:r w:rsidRPr="00985233">
          <w:fldChar w:fldCharType="separate"/>
        </w:r>
        <w:r w:rsidR="00CB4A36" w:rsidRPr="00CB4A36">
          <w:rPr>
            <w:noProof/>
            <w:lang w:val="zh-CN"/>
          </w:rPr>
          <w:t>1</w:t>
        </w:r>
        <w:r>
          <w:rPr>
            <w:noProof/>
            <w:lang w:val="zh-CN"/>
          </w:rPr>
          <w:fldChar w:fldCharType="end"/>
        </w:r>
      </w:p>
    </w:sdtContent>
  </w:sdt>
  <w:p w:rsidR="00737D5C" w:rsidRDefault="00737D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32" w:rsidRDefault="00CA6E32" w:rsidP="00AA1FBE">
      <w:r>
        <w:separator/>
      </w:r>
    </w:p>
  </w:footnote>
  <w:footnote w:type="continuationSeparator" w:id="1">
    <w:p w:rsidR="00CA6E32" w:rsidRDefault="00CA6E32" w:rsidP="00AA1F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2BD"/>
    <w:rsid w:val="00020D78"/>
    <w:rsid w:val="0003574E"/>
    <w:rsid w:val="000764CE"/>
    <w:rsid w:val="000C55C9"/>
    <w:rsid w:val="0015636B"/>
    <w:rsid w:val="001829EB"/>
    <w:rsid w:val="001B6B0A"/>
    <w:rsid w:val="001C1D55"/>
    <w:rsid w:val="001D5C35"/>
    <w:rsid w:val="001E1AD9"/>
    <w:rsid w:val="002057E2"/>
    <w:rsid w:val="00205935"/>
    <w:rsid w:val="002A1F1D"/>
    <w:rsid w:val="002D675D"/>
    <w:rsid w:val="002D6772"/>
    <w:rsid w:val="002E6572"/>
    <w:rsid w:val="002F2C5C"/>
    <w:rsid w:val="002F3AF6"/>
    <w:rsid w:val="002F74E1"/>
    <w:rsid w:val="00316485"/>
    <w:rsid w:val="00331F5F"/>
    <w:rsid w:val="003406BF"/>
    <w:rsid w:val="00356DA3"/>
    <w:rsid w:val="00390E4A"/>
    <w:rsid w:val="003F4CF3"/>
    <w:rsid w:val="004041A1"/>
    <w:rsid w:val="004237C5"/>
    <w:rsid w:val="004472C7"/>
    <w:rsid w:val="0045058E"/>
    <w:rsid w:val="00460979"/>
    <w:rsid w:val="00470899"/>
    <w:rsid w:val="00484612"/>
    <w:rsid w:val="0049437C"/>
    <w:rsid w:val="004C0F85"/>
    <w:rsid w:val="004F5AE2"/>
    <w:rsid w:val="0051291D"/>
    <w:rsid w:val="00525519"/>
    <w:rsid w:val="00576A46"/>
    <w:rsid w:val="005A1C99"/>
    <w:rsid w:val="005A203F"/>
    <w:rsid w:val="005B47B9"/>
    <w:rsid w:val="005E7CF1"/>
    <w:rsid w:val="006102D8"/>
    <w:rsid w:val="006536EE"/>
    <w:rsid w:val="006F69D8"/>
    <w:rsid w:val="00737D5C"/>
    <w:rsid w:val="00770B63"/>
    <w:rsid w:val="00793CDF"/>
    <w:rsid w:val="007C54FA"/>
    <w:rsid w:val="00820817"/>
    <w:rsid w:val="008563EA"/>
    <w:rsid w:val="00873137"/>
    <w:rsid w:val="008D2F14"/>
    <w:rsid w:val="008F7A51"/>
    <w:rsid w:val="00985233"/>
    <w:rsid w:val="009908E3"/>
    <w:rsid w:val="009A64A9"/>
    <w:rsid w:val="009A6B82"/>
    <w:rsid w:val="009D5EB6"/>
    <w:rsid w:val="00A41FAC"/>
    <w:rsid w:val="00A67CAB"/>
    <w:rsid w:val="00AA1FBE"/>
    <w:rsid w:val="00AB79C0"/>
    <w:rsid w:val="00AD4A8F"/>
    <w:rsid w:val="00B0526C"/>
    <w:rsid w:val="00B13605"/>
    <w:rsid w:val="00B1655E"/>
    <w:rsid w:val="00B44B6E"/>
    <w:rsid w:val="00B70801"/>
    <w:rsid w:val="00B7782A"/>
    <w:rsid w:val="00BB50F6"/>
    <w:rsid w:val="00BF5A0B"/>
    <w:rsid w:val="00C15372"/>
    <w:rsid w:val="00CA1C7A"/>
    <w:rsid w:val="00CA6E32"/>
    <w:rsid w:val="00CB4A36"/>
    <w:rsid w:val="00CC7448"/>
    <w:rsid w:val="00CD5685"/>
    <w:rsid w:val="00CE156F"/>
    <w:rsid w:val="00CE7E2B"/>
    <w:rsid w:val="00D17C47"/>
    <w:rsid w:val="00D35C0C"/>
    <w:rsid w:val="00D473B1"/>
    <w:rsid w:val="00D91E95"/>
    <w:rsid w:val="00DB58BE"/>
    <w:rsid w:val="00DD297E"/>
    <w:rsid w:val="00DE7115"/>
    <w:rsid w:val="00DF6F51"/>
    <w:rsid w:val="00E038FC"/>
    <w:rsid w:val="00E1568E"/>
    <w:rsid w:val="00E24ED7"/>
    <w:rsid w:val="00E30C6C"/>
    <w:rsid w:val="00E33045"/>
    <w:rsid w:val="00E53E7F"/>
    <w:rsid w:val="00E71F61"/>
    <w:rsid w:val="00E92096"/>
    <w:rsid w:val="00EA4850"/>
    <w:rsid w:val="00EA4B4D"/>
    <w:rsid w:val="00EB68C1"/>
    <w:rsid w:val="00EC1130"/>
    <w:rsid w:val="00EF3B34"/>
    <w:rsid w:val="00EF40B2"/>
    <w:rsid w:val="00F16FA5"/>
    <w:rsid w:val="00F17572"/>
    <w:rsid w:val="00F6163C"/>
    <w:rsid w:val="00F97F66"/>
    <w:rsid w:val="00FE137D"/>
    <w:rsid w:val="00FF5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1F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1FBE"/>
    <w:rPr>
      <w:sz w:val="18"/>
      <w:szCs w:val="18"/>
    </w:rPr>
  </w:style>
  <w:style w:type="paragraph" w:styleId="a4">
    <w:name w:val="footer"/>
    <w:basedOn w:val="a"/>
    <w:link w:val="Char0"/>
    <w:uiPriority w:val="99"/>
    <w:unhideWhenUsed/>
    <w:rsid w:val="00AA1F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1FBE"/>
    <w:rPr>
      <w:sz w:val="18"/>
      <w:szCs w:val="18"/>
    </w:rPr>
  </w:style>
  <w:style w:type="character" w:customStyle="1" w:styleId="da">
    <w:name w:val="da"/>
    <w:basedOn w:val="a0"/>
    <w:rsid w:val="00AA1FBE"/>
  </w:style>
  <w:style w:type="table" w:styleId="a5">
    <w:name w:val="Table Grid"/>
    <w:basedOn w:val="a1"/>
    <w:uiPriority w:val="59"/>
    <w:rsid w:val="00EA485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1C1D55"/>
    <w:rPr>
      <w:sz w:val="21"/>
      <w:szCs w:val="21"/>
    </w:rPr>
  </w:style>
  <w:style w:type="paragraph" w:styleId="a7">
    <w:name w:val="annotation text"/>
    <w:basedOn w:val="a"/>
    <w:link w:val="Char1"/>
    <w:uiPriority w:val="99"/>
    <w:semiHidden/>
    <w:unhideWhenUsed/>
    <w:rsid w:val="001C1D55"/>
    <w:pPr>
      <w:jc w:val="left"/>
    </w:pPr>
  </w:style>
  <w:style w:type="character" w:customStyle="1" w:styleId="Char1">
    <w:name w:val="批注文字 Char"/>
    <w:basedOn w:val="a0"/>
    <w:link w:val="a7"/>
    <w:uiPriority w:val="99"/>
    <w:semiHidden/>
    <w:rsid w:val="001C1D55"/>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1C1D55"/>
    <w:rPr>
      <w:b/>
      <w:bCs/>
    </w:rPr>
  </w:style>
  <w:style w:type="character" w:customStyle="1" w:styleId="Char2">
    <w:name w:val="批注主题 Char"/>
    <w:basedOn w:val="Char1"/>
    <w:link w:val="a8"/>
    <w:uiPriority w:val="99"/>
    <w:semiHidden/>
    <w:rsid w:val="001C1D55"/>
    <w:rPr>
      <w:rFonts w:ascii="Times New Roman" w:eastAsia="宋体" w:hAnsi="Times New Roman" w:cs="Times New Roman"/>
      <w:b/>
      <w:bCs/>
      <w:szCs w:val="24"/>
    </w:rPr>
  </w:style>
  <w:style w:type="paragraph" w:styleId="a9">
    <w:name w:val="Balloon Text"/>
    <w:basedOn w:val="a"/>
    <w:link w:val="Char3"/>
    <w:uiPriority w:val="99"/>
    <w:semiHidden/>
    <w:unhideWhenUsed/>
    <w:rsid w:val="001C1D55"/>
    <w:rPr>
      <w:sz w:val="18"/>
      <w:szCs w:val="18"/>
    </w:rPr>
  </w:style>
  <w:style w:type="character" w:customStyle="1" w:styleId="Char3">
    <w:name w:val="批注框文本 Char"/>
    <w:basedOn w:val="a0"/>
    <w:link w:val="a9"/>
    <w:uiPriority w:val="99"/>
    <w:semiHidden/>
    <w:rsid w:val="001C1D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3230508">
      <w:bodyDiv w:val="1"/>
      <w:marLeft w:val="0"/>
      <w:marRight w:val="0"/>
      <w:marTop w:val="0"/>
      <w:marBottom w:val="0"/>
      <w:divBdr>
        <w:top w:val="none" w:sz="0" w:space="0" w:color="auto"/>
        <w:left w:val="none" w:sz="0" w:space="0" w:color="auto"/>
        <w:bottom w:val="none" w:sz="0" w:space="0" w:color="auto"/>
        <w:right w:val="none" w:sz="0" w:space="0" w:color="auto"/>
      </w:divBdr>
    </w:div>
    <w:div w:id="841746055">
      <w:bodyDiv w:val="1"/>
      <w:marLeft w:val="0"/>
      <w:marRight w:val="0"/>
      <w:marTop w:val="0"/>
      <w:marBottom w:val="0"/>
      <w:divBdr>
        <w:top w:val="none" w:sz="0" w:space="0" w:color="auto"/>
        <w:left w:val="none" w:sz="0" w:space="0" w:color="auto"/>
        <w:bottom w:val="none" w:sz="0" w:space="0" w:color="auto"/>
        <w:right w:val="none" w:sz="0" w:space="0" w:color="auto"/>
      </w:divBdr>
    </w:div>
    <w:div w:id="13659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王丹阳</dc:creator>
  <cp:lastModifiedBy>Windows User</cp:lastModifiedBy>
  <cp:revision>12</cp:revision>
  <dcterms:created xsi:type="dcterms:W3CDTF">2017-11-08T07:00:00Z</dcterms:created>
  <dcterms:modified xsi:type="dcterms:W3CDTF">2017-11-08T09:40:00Z</dcterms:modified>
</cp:coreProperties>
</file>