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AC" w:rsidRDefault="00817B1B">
      <w:pPr>
        <w:widowControl w:val="0"/>
        <w:autoSpaceDE w:val="0"/>
        <w:autoSpaceDN w:val="0"/>
        <w:adjustRightInd w:val="0"/>
        <w:spacing w:after="0" w:line="360" w:lineRule="auto"/>
        <w:jc w:val="center"/>
        <w:rPr>
          <w:rFonts w:ascii="楷体_GB2312" w:eastAsia="楷体_GB2312" w:hAnsi="宋体" w:cs="宋体"/>
          <w:color w:val="000000"/>
          <w:sz w:val="24"/>
          <w:szCs w:val="24"/>
        </w:rPr>
      </w:pPr>
      <w:r>
        <w:rPr>
          <w:rFonts w:ascii="楷体_GB2312" w:eastAsia="楷体_GB2312" w:hAnsi="宋体" w:cs="宋体" w:hint="eastAsia"/>
          <w:color w:val="000000"/>
          <w:sz w:val="24"/>
          <w:szCs w:val="24"/>
        </w:rPr>
        <w:t>证券代码：000671      证券简称：阳光城      公告编号：2017-</w:t>
      </w:r>
      <w:r w:rsidR="00D27F01">
        <w:rPr>
          <w:rFonts w:ascii="楷体_GB2312" w:eastAsia="楷体_GB2312" w:hAnsi="宋体" w:cs="宋体" w:hint="eastAsia"/>
          <w:color w:val="000000"/>
          <w:sz w:val="24"/>
          <w:szCs w:val="24"/>
        </w:rPr>
        <w:t>3</w:t>
      </w:r>
      <w:r w:rsidR="00D27F01">
        <w:rPr>
          <w:rFonts w:ascii="楷体_GB2312" w:eastAsia="楷体_GB2312" w:hAnsi="宋体" w:cs="宋体"/>
          <w:color w:val="000000"/>
          <w:sz w:val="24"/>
          <w:szCs w:val="24"/>
        </w:rPr>
        <w:t>23</w:t>
      </w:r>
    </w:p>
    <w:p w:rsidR="00DD18AC" w:rsidRDefault="00DD18AC">
      <w:pPr>
        <w:widowControl w:val="0"/>
        <w:autoSpaceDE w:val="0"/>
        <w:autoSpaceDN w:val="0"/>
        <w:adjustRightInd w:val="0"/>
        <w:spacing w:after="0" w:line="240" w:lineRule="auto"/>
        <w:jc w:val="center"/>
        <w:rPr>
          <w:rFonts w:ascii="楷体_GB2312" w:eastAsia="楷体_GB2312" w:hAnsi="宋体" w:cs="宋体"/>
          <w:color w:val="000000"/>
          <w:sz w:val="24"/>
          <w:szCs w:val="24"/>
        </w:rPr>
      </w:pPr>
    </w:p>
    <w:p w:rsidR="00DD18AC" w:rsidRDefault="00817B1B">
      <w:pPr>
        <w:widowControl w:val="0"/>
        <w:spacing w:after="0" w:line="600" w:lineRule="exact"/>
        <w:jc w:val="center"/>
        <w:rPr>
          <w:rFonts w:ascii="黑体" w:eastAsia="黑体" w:hAnsi="宋体"/>
          <w:color w:val="000000"/>
          <w:kern w:val="2"/>
          <w:sz w:val="32"/>
          <w:szCs w:val="32"/>
        </w:rPr>
      </w:pPr>
      <w:r>
        <w:rPr>
          <w:rFonts w:ascii="黑体" w:eastAsia="黑体" w:hAnsi="宋体" w:hint="eastAsia"/>
          <w:color w:val="000000"/>
          <w:kern w:val="2"/>
          <w:sz w:val="32"/>
          <w:szCs w:val="32"/>
        </w:rPr>
        <w:t>阳光城集团股份有限公司</w:t>
      </w:r>
    </w:p>
    <w:p w:rsidR="00DD18AC" w:rsidRDefault="00817B1B">
      <w:pPr>
        <w:widowControl w:val="0"/>
        <w:spacing w:after="0" w:line="600" w:lineRule="exact"/>
        <w:jc w:val="center"/>
        <w:rPr>
          <w:rFonts w:ascii="黑体" w:eastAsia="黑体" w:hAnsi="宋体"/>
          <w:color w:val="000000"/>
          <w:kern w:val="2"/>
          <w:sz w:val="32"/>
          <w:szCs w:val="32"/>
        </w:rPr>
      </w:pPr>
      <w:r>
        <w:rPr>
          <w:rFonts w:ascii="黑体" w:eastAsia="黑体" w:hAnsi="宋体" w:hint="eastAsia"/>
          <w:color w:val="000000"/>
          <w:kern w:val="2"/>
          <w:sz w:val="32"/>
          <w:szCs w:val="32"/>
        </w:rPr>
        <w:t>关于</w:t>
      </w:r>
      <w:r>
        <w:rPr>
          <w:rFonts w:ascii="黑体" w:eastAsia="黑体" w:hAnsi="宋体"/>
          <w:color w:val="000000"/>
          <w:kern w:val="2"/>
          <w:sz w:val="32"/>
          <w:szCs w:val="32"/>
        </w:rPr>
        <w:t>为</w:t>
      </w:r>
      <w:r>
        <w:rPr>
          <w:rFonts w:ascii="黑体" w:eastAsia="黑体" w:hAnsi="宋体" w:hint="eastAsia"/>
          <w:color w:val="000000"/>
          <w:kern w:val="2"/>
          <w:sz w:val="32"/>
          <w:szCs w:val="32"/>
        </w:rPr>
        <w:t>子公司厦门置业</w:t>
      </w:r>
      <w:r w:rsidR="004E1445">
        <w:rPr>
          <w:rFonts w:ascii="黑体" w:eastAsia="黑体" w:hAnsi="宋体" w:hint="eastAsia"/>
          <w:color w:val="000000"/>
          <w:kern w:val="2"/>
          <w:sz w:val="32"/>
          <w:szCs w:val="32"/>
        </w:rPr>
        <w:t>贷款</w:t>
      </w:r>
      <w:r w:rsidR="000025D5" w:rsidRPr="000025D5">
        <w:rPr>
          <w:rFonts w:ascii="黑体" w:eastAsia="黑体" w:hAnsi="宋体" w:hint="eastAsia"/>
          <w:color w:val="000000"/>
          <w:kern w:val="2"/>
          <w:sz w:val="32"/>
          <w:szCs w:val="32"/>
        </w:rPr>
        <w:t>1.78亿元</w:t>
      </w:r>
      <w:r w:rsidR="004E1445">
        <w:rPr>
          <w:rFonts w:ascii="黑体" w:eastAsia="黑体" w:hAnsi="宋体"/>
          <w:color w:val="000000"/>
          <w:kern w:val="2"/>
          <w:sz w:val="32"/>
          <w:szCs w:val="32"/>
        </w:rPr>
        <w:t>提供</w:t>
      </w:r>
      <w:r>
        <w:rPr>
          <w:rFonts w:ascii="黑体" w:eastAsia="黑体" w:hAnsi="宋体"/>
          <w:color w:val="000000"/>
          <w:kern w:val="2"/>
          <w:sz w:val="32"/>
          <w:szCs w:val="32"/>
        </w:rPr>
        <w:t>担保</w:t>
      </w:r>
      <w:r>
        <w:rPr>
          <w:rFonts w:ascii="黑体" w:eastAsia="黑体" w:hAnsi="宋体" w:hint="eastAsia"/>
          <w:color w:val="000000"/>
          <w:kern w:val="2"/>
          <w:sz w:val="32"/>
          <w:szCs w:val="32"/>
        </w:rPr>
        <w:t>的公告</w:t>
      </w:r>
    </w:p>
    <w:p w:rsidR="00DD18AC" w:rsidRPr="000025D5" w:rsidRDefault="00DD18AC">
      <w:pPr>
        <w:widowControl w:val="0"/>
        <w:spacing w:after="0" w:line="560" w:lineRule="exact"/>
        <w:jc w:val="center"/>
        <w:rPr>
          <w:rFonts w:ascii="黑体" w:eastAsia="黑体" w:hAnsi="宋体"/>
          <w:color w:val="000000"/>
          <w:kern w:val="2"/>
          <w:sz w:val="32"/>
          <w:szCs w:val="32"/>
        </w:rPr>
      </w:pPr>
    </w:p>
    <w:p w:rsidR="00AE5355" w:rsidRPr="008E1015" w:rsidRDefault="00AE5355" w:rsidP="00AE5355">
      <w:pPr>
        <w:spacing w:line="360" w:lineRule="auto"/>
        <w:ind w:firstLineChars="200" w:firstLine="480"/>
        <w:rPr>
          <w:rStyle w:val="da"/>
          <w:rFonts w:ascii="楷体" w:eastAsia="楷体" w:hAnsi="楷体"/>
          <w:color w:val="000000"/>
          <w:sz w:val="24"/>
        </w:rPr>
      </w:pPr>
      <w:r w:rsidRPr="00A77F60">
        <w:rPr>
          <w:rStyle w:val="da"/>
          <w:rFonts w:ascii="楷体" w:eastAsia="楷体" w:hAnsi="楷体" w:hint="eastAsia"/>
          <w:color w:val="000000"/>
          <w:sz w:val="24"/>
        </w:rPr>
        <w:t>本公司及董事会全体成员保证信息披露的内容真实、准确、完整，没有虚假记载、误导性陈述或者重大遗漏。</w:t>
      </w:r>
    </w:p>
    <w:p w:rsidR="00DD18AC" w:rsidRDefault="00DD18AC">
      <w:pPr>
        <w:widowControl w:val="0"/>
        <w:spacing w:after="0" w:line="360" w:lineRule="auto"/>
        <w:ind w:firstLineChars="200" w:firstLine="480"/>
        <w:jc w:val="both"/>
        <w:rPr>
          <w:rFonts w:ascii="楷体_GB2312" w:eastAsia="楷体_GB2312" w:hAnsi="宋体"/>
          <w:color w:val="000000"/>
          <w:sz w:val="24"/>
          <w:szCs w:val="24"/>
        </w:rPr>
      </w:pPr>
    </w:p>
    <w:p w:rsidR="00DD18AC" w:rsidRDefault="00817B1B">
      <w:pPr>
        <w:widowControl w:val="0"/>
        <w:autoSpaceDE w:val="0"/>
        <w:autoSpaceDN w:val="0"/>
        <w:adjustRightInd w:val="0"/>
        <w:spacing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t>一、担保情况</w:t>
      </w:r>
      <w:r>
        <w:rPr>
          <w:rFonts w:ascii="宋体" w:hAnsi="宋体" w:cs="宋体"/>
          <w:b/>
          <w:color w:val="000000"/>
          <w:sz w:val="24"/>
          <w:szCs w:val="24"/>
        </w:rPr>
        <w:t>概述</w:t>
      </w:r>
    </w:p>
    <w:p w:rsidR="00DD18AC" w:rsidRDefault="00817B1B">
      <w:pPr>
        <w:widowControl w:val="0"/>
        <w:autoSpaceDE w:val="0"/>
        <w:autoSpaceDN w:val="0"/>
        <w:adjustRightInd w:val="0"/>
        <w:spacing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一）担保情况</w:t>
      </w:r>
    </w:p>
    <w:p w:rsidR="00DD18AC" w:rsidRDefault="00817B1B">
      <w:pPr>
        <w:widowControl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阳光城集团股份有限公司（以下简称“公司”）</w:t>
      </w:r>
      <w:r w:rsidR="004E1445">
        <w:rPr>
          <w:rFonts w:ascii="宋体" w:hAnsi="宋体" w:hint="eastAsia"/>
          <w:color w:val="000000"/>
          <w:kern w:val="2"/>
          <w:sz w:val="24"/>
          <w:szCs w:val="24"/>
        </w:rPr>
        <w:t>合并</w:t>
      </w:r>
      <w:r>
        <w:rPr>
          <w:rFonts w:ascii="宋体" w:hAnsi="宋体" w:hint="eastAsia"/>
          <w:color w:val="000000"/>
          <w:kern w:val="2"/>
          <w:sz w:val="24"/>
          <w:szCs w:val="24"/>
        </w:rPr>
        <w:t>持有</w:t>
      </w:r>
      <w:r>
        <w:rPr>
          <w:rFonts w:ascii="Times New Roman" w:hAnsi="Times New Roman"/>
          <w:color w:val="000000"/>
          <w:kern w:val="2"/>
          <w:sz w:val="24"/>
          <w:szCs w:val="24"/>
        </w:rPr>
        <w:t>100%</w:t>
      </w:r>
      <w:r>
        <w:rPr>
          <w:rFonts w:ascii="Times New Roman" w:hAnsi="Times New Roman"/>
          <w:color w:val="000000"/>
          <w:kern w:val="2"/>
          <w:sz w:val="24"/>
          <w:szCs w:val="24"/>
        </w:rPr>
        <w:t>权</w:t>
      </w:r>
      <w:r>
        <w:rPr>
          <w:rFonts w:ascii="宋体" w:hAnsi="宋体" w:hint="eastAsia"/>
          <w:color w:val="000000"/>
          <w:kern w:val="2"/>
          <w:sz w:val="24"/>
          <w:szCs w:val="24"/>
        </w:rPr>
        <w:t>益的子公司阳光城(厦门)置业有限公司（以下简称“厦门置业”）接受</w:t>
      </w:r>
      <w:r w:rsidR="001003CE" w:rsidRPr="001003CE">
        <w:rPr>
          <w:rFonts w:ascii="宋体" w:hAnsi="宋体" w:hint="eastAsia"/>
          <w:color w:val="000000"/>
          <w:kern w:val="2"/>
          <w:sz w:val="24"/>
          <w:szCs w:val="24"/>
        </w:rPr>
        <w:t>建信信托有限责任公司</w:t>
      </w:r>
      <w:r>
        <w:rPr>
          <w:rFonts w:ascii="宋体" w:hAnsi="宋体" w:hint="eastAsia"/>
          <w:color w:val="000000"/>
          <w:kern w:val="2"/>
          <w:sz w:val="24"/>
          <w:szCs w:val="24"/>
        </w:rPr>
        <w:t>（以下简称“</w:t>
      </w:r>
      <w:r w:rsidR="001003CE">
        <w:rPr>
          <w:rFonts w:ascii="宋体" w:hAnsi="宋体" w:hint="eastAsia"/>
          <w:color w:val="000000"/>
          <w:kern w:val="2"/>
          <w:sz w:val="24"/>
          <w:szCs w:val="24"/>
        </w:rPr>
        <w:t>建信信托</w:t>
      </w:r>
      <w:r>
        <w:rPr>
          <w:rFonts w:ascii="宋体" w:hAnsi="宋体" w:hint="eastAsia"/>
          <w:color w:val="000000"/>
          <w:kern w:val="2"/>
          <w:sz w:val="24"/>
          <w:szCs w:val="24"/>
        </w:rPr>
        <w:t>”）提供不超过</w:t>
      </w:r>
      <w:r w:rsidR="001003CE">
        <w:rPr>
          <w:rFonts w:ascii="Times New Roman" w:hAnsi="Times New Roman"/>
          <w:color w:val="000000"/>
          <w:kern w:val="2"/>
          <w:sz w:val="24"/>
          <w:szCs w:val="24"/>
        </w:rPr>
        <w:t>1.78</w:t>
      </w:r>
      <w:r>
        <w:rPr>
          <w:rFonts w:ascii="宋体" w:hAnsi="宋体" w:hint="eastAsia"/>
          <w:color w:val="000000"/>
          <w:kern w:val="2"/>
          <w:sz w:val="24"/>
          <w:szCs w:val="24"/>
        </w:rPr>
        <w:t>亿元的贷款</w:t>
      </w:r>
      <w:r>
        <w:rPr>
          <w:rFonts w:ascii="Times New Roman" w:hAnsi="Times New Roman"/>
          <w:color w:val="000000"/>
          <w:kern w:val="2"/>
          <w:sz w:val="24"/>
          <w:szCs w:val="24"/>
        </w:rPr>
        <w:t>，期限</w:t>
      </w:r>
      <w:r w:rsidR="001003CE">
        <w:rPr>
          <w:rFonts w:ascii="Times New Roman" w:hAnsi="Times New Roman"/>
          <w:color w:val="000000"/>
          <w:kern w:val="2"/>
          <w:sz w:val="24"/>
          <w:szCs w:val="24"/>
        </w:rPr>
        <w:t>3</w:t>
      </w:r>
      <w:r>
        <w:rPr>
          <w:rFonts w:ascii="Times New Roman" w:hAnsi="Times New Roman" w:hint="eastAsia"/>
          <w:color w:val="000000"/>
          <w:kern w:val="2"/>
          <w:sz w:val="24"/>
          <w:szCs w:val="24"/>
        </w:rPr>
        <w:t>年</w:t>
      </w:r>
      <w:r>
        <w:rPr>
          <w:rFonts w:ascii="Times New Roman" w:hAnsi="Times New Roman"/>
          <w:color w:val="000000"/>
          <w:kern w:val="2"/>
          <w:sz w:val="24"/>
          <w:szCs w:val="24"/>
        </w:rPr>
        <w:t>，</w:t>
      </w:r>
      <w:r>
        <w:rPr>
          <w:rFonts w:ascii="Times New Roman" w:hAnsi="Times New Roman" w:hint="eastAsia"/>
          <w:color w:val="000000"/>
          <w:kern w:val="2"/>
          <w:sz w:val="24"/>
          <w:szCs w:val="24"/>
        </w:rPr>
        <w:t>作为担保：公司子公司</w:t>
      </w:r>
      <w:r>
        <w:rPr>
          <w:rFonts w:ascii="宋体" w:hAnsi="宋体" w:hint="eastAsia"/>
          <w:color w:val="000000"/>
          <w:kern w:val="2"/>
          <w:sz w:val="24"/>
          <w:szCs w:val="24"/>
        </w:rPr>
        <w:t>厦门置业以其持有的</w:t>
      </w:r>
      <w:r w:rsidR="005D4619" w:rsidRPr="005D4619">
        <w:rPr>
          <w:rFonts w:ascii="宋体" w:hAnsi="宋体" w:hint="eastAsia"/>
          <w:color w:val="000000"/>
          <w:kern w:val="2"/>
          <w:sz w:val="24"/>
          <w:szCs w:val="24"/>
        </w:rPr>
        <w:t>泉州台商投资区鑫泉房地产开发有限公司</w:t>
      </w:r>
      <w:r>
        <w:rPr>
          <w:rFonts w:ascii="宋体" w:hAnsi="宋体" w:hint="eastAsia"/>
          <w:color w:val="000000"/>
          <w:kern w:val="2"/>
          <w:sz w:val="24"/>
          <w:szCs w:val="24"/>
        </w:rPr>
        <w:t>（以下简称“</w:t>
      </w:r>
      <w:r w:rsidR="005D4619" w:rsidRPr="005D4619">
        <w:rPr>
          <w:rFonts w:ascii="宋体" w:hAnsi="宋体" w:hint="eastAsia"/>
          <w:color w:val="000000"/>
          <w:kern w:val="2"/>
          <w:sz w:val="24"/>
          <w:szCs w:val="24"/>
        </w:rPr>
        <w:t>泉州鑫泉房地产</w:t>
      </w:r>
      <w:r>
        <w:rPr>
          <w:rFonts w:ascii="宋体" w:hAnsi="宋体" w:hint="eastAsia"/>
          <w:color w:val="000000"/>
          <w:kern w:val="2"/>
          <w:sz w:val="24"/>
          <w:szCs w:val="24"/>
        </w:rPr>
        <w:t>”</w:t>
      </w:r>
      <w:r>
        <w:rPr>
          <w:rFonts w:ascii="宋体" w:hAnsi="宋体"/>
          <w:color w:val="000000"/>
          <w:kern w:val="2"/>
          <w:sz w:val="24"/>
          <w:szCs w:val="24"/>
        </w:rPr>
        <w:t>）</w:t>
      </w:r>
      <w:r w:rsidR="005D4619">
        <w:rPr>
          <w:rFonts w:ascii="宋体" w:hAnsi="宋体"/>
          <w:color w:val="000000"/>
          <w:kern w:val="2"/>
          <w:sz w:val="24"/>
          <w:szCs w:val="24"/>
        </w:rPr>
        <w:t>50</w:t>
      </w:r>
      <w:r>
        <w:rPr>
          <w:rFonts w:ascii="宋体" w:hAnsi="宋体"/>
          <w:color w:val="000000"/>
          <w:kern w:val="2"/>
          <w:sz w:val="24"/>
          <w:szCs w:val="24"/>
        </w:rPr>
        <w:t>%</w:t>
      </w:r>
      <w:r>
        <w:rPr>
          <w:rFonts w:ascii="宋体" w:hAnsi="宋体" w:hint="eastAsia"/>
          <w:color w:val="000000"/>
          <w:kern w:val="2"/>
          <w:sz w:val="24"/>
          <w:szCs w:val="24"/>
        </w:rPr>
        <w:t>股权提供质押，公司为本次交易提供连带责任保证担保。</w:t>
      </w:r>
    </w:p>
    <w:p w:rsidR="00DD18AC" w:rsidRDefault="00817B1B">
      <w:pPr>
        <w:widowControl w:val="0"/>
        <w:autoSpaceDE w:val="0"/>
        <w:autoSpaceDN w:val="0"/>
        <w:adjustRightInd w:val="0"/>
        <w:spacing w:after="0" w:line="360" w:lineRule="auto"/>
        <w:ind w:firstLineChars="200" w:firstLine="480"/>
        <w:jc w:val="both"/>
        <w:rPr>
          <w:rFonts w:ascii="宋体" w:hAnsi="Times New Roman" w:cs="宋体"/>
          <w:color w:val="000000"/>
          <w:sz w:val="24"/>
          <w:szCs w:val="24"/>
        </w:rPr>
      </w:pPr>
      <w:r>
        <w:rPr>
          <w:rFonts w:ascii="宋体" w:hAnsi="宋体" w:hint="eastAsia"/>
          <w:color w:val="000000"/>
          <w:kern w:val="2"/>
          <w:sz w:val="24"/>
          <w:szCs w:val="24"/>
        </w:rPr>
        <w:t>（二）</w:t>
      </w:r>
      <w:r>
        <w:rPr>
          <w:rFonts w:ascii="宋体" w:hAnsi="Times New Roman" w:cs="宋体" w:hint="eastAsia"/>
          <w:color w:val="000000"/>
          <w:sz w:val="24"/>
          <w:szCs w:val="24"/>
        </w:rPr>
        <w:t>担保审批情况</w:t>
      </w:r>
    </w:p>
    <w:p w:rsidR="00DD18AC" w:rsidRDefault="00817B1B">
      <w:pPr>
        <w:widowControl w:val="0"/>
        <w:spacing w:after="0" w:line="360" w:lineRule="auto"/>
        <w:ind w:firstLineChars="200" w:firstLine="480"/>
        <w:jc w:val="both"/>
        <w:rPr>
          <w:rFonts w:ascii="宋体" w:hAnsi="宋体"/>
          <w:color w:val="000000"/>
          <w:kern w:val="2"/>
          <w:sz w:val="24"/>
          <w:szCs w:val="24"/>
        </w:rPr>
      </w:pPr>
      <w:r>
        <w:rPr>
          <w:rFonts w:ascii="宋体" w:hAnsi="宋体" w:hint="eastAsia"/>
          <w:sz w:val="24"/>
        </w:rPr>
        <w:t>2017年4月13日和2017年5月8日，公司分别召开第九届董事局第二次会议和2016年年度股东大会，审议通过了《关于公司2017年担保计划的议案》，同意在600亿元人民币担保额度以内，授权公司经营管理层负责办理对全资子公司、控股子公司、参股子公司（包括子公司对公司的担保）提供担保的具体事宜，公司将依据各子公司的实际融资情况对担保对象和担保额度进行调剂，实际担保金额、种类、期限等以合同为准。在年度预计担保额度计划范围内，公司将根据审慎原则对各担保事项进行审批和管理。</w:t>
      </w:r>
    </w:p>
    <w:p w:rsidR="00DD18AC" w:rsidRDefault="00DD18AC">
      <w:pPr>
        <w:widowControl w:val="0"/>
        <w:spacing w:after="0" w:line="360" w:lineRule="auto"/>
        <w:ind w:firstLineChars="200" w:firstLine="480"/>
        <w:jc w:val="both"/>
        <w:rPr>
          <w:rFonts w:ascii="宋体" w:hAnsi="宋体"/>
          <w:color w:val="000000"/>
          <w:kern w:val="2"/>
          <w:sz w:val="24"/>
          <w:szCs w:val="24"/>
        </w:rPr>
      </w:pPr>
    </w:p>
    <w:p w:rsidR="00DD18AC" w:rsidRDefault="00817B1B">
      <w:pPr>
        <w:widowControl w:val="0"/>
        <w:autoSpaceDE w:val="0"/>
        <w:autoSpaceDN w:val="0"/>
        <w:adjustRightInd w:val="0"/>
        <w:spacing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t>二、被担保人基本情况</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（一）</w:t>
      </w:r>
      <w:r>
        <w:rPr>
          <w:rFonts w:ascii="Times New Roman" w:hAnsi="Times New Roman" w:hint="eastAsia"/>
          <w:color w:val="000000"/>
          <w:kern w:val="2"/>
          <w:sz w:val="24"/>
          <w:szCs w:val="24"/>
        </w:rPr>
        <w:t>公司名称：阳光城</w:t>
      </w:r>
      <w:r>
        <w:rPr>
          <w:rFonts w:asciiTheme="minorEastAsia" w:eastAsiaTheme="minorEastAsia" w:hAnsiTheme="minorEastAsia" w:hint="eastAsia"/>
          <w:color w:val="000000"/>
          <w:kern w:val="2"/>
          <w:sz w:val="24"/>
          <w:szCs w:val="24"/>
        </w:rPr>
        <w:t>（厦门）</w:t>
      </w:r>
      <w:r>
        <w:rPr>
          <w:rFonts w:ascii="Times New Roman" w:hAnsi="Times New Roman" w:hint="eastAsia"/>
          <w:color w:val="000000"/>
          <w:kern w:val="2"/>
          <w:sz w:val="24"/>
          <w:szCs w:val="24"/>
        </w:rPr>
        <w:t>置业有限公司；</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（二）成立日期：</w:t>
      </w:r>
      <w:r>
        <w:rPr>
          <w:rFonts w:ascii="Times New Roman" w:hAnsi="Times New Roman" w:hint="eastAsia"/>
          <w:color w:val="000000"/>
          <w:kern w:val="2"/>
          <w:sz w:val="24"/>
          <w:szCs w:val="24"/>
        </w:rPr>
        <w:t>2012</w:t>
      </w:r>
      <w:r>
        <w:rPr>
          <w:rFonts w:ascii="Times New Roman" w:hAnsi="Times New Roman" w:hint="eastAsia"/>
          <w:color w:val="000000"/>
          <w:kern w:val="2"/>
          <w:sz w:val="24"/>
          <w:szCs w:val="24"/>
        </w:rPr>
        <w:t>年</w:t>
      </w:r>
      <w:r>
        <w:rPr>
          <w:rFonts w:ascii="Times New Roman" w:hAnsi="Times New Roman" w:hint="eastAsia"/>
          <w:color w:val="000000"/>
          <w:kern w:val="2"/>
          <w:sz w:val="24"/>
          <w:szCs w:val="24"/>
        </w:rPr>
        <w:t>6</w:t>
      </w:r>
      <w:r>
        <w:rPr>
          <w:rFonts w:ascii="Times New Roman" w:hAnsi="Times New Roman" w:hint="eastAsia"/>
          <w:color w:val="000000"/>
          <w:kern w:val="2"/>
          <w:sz w:val="24"/>
          <w:szCs w:val="24"/>
        </w:rPr>
        <w:t>月</w:t>
      </w:r>
      <w:r>
        <w:rPr>
          <w:rFonts w:ascii="Times New Roman" w:hAnsi="Times New Roman" w:hint="eastAsia"/>
          <w:color w:val="000000"/>
          <w:kern w:val="2"/>
          <w:sz w:val="24"/>
          <w:szCs w:val="24"/>
        </w:rPr>
        <w:t>28</w:t>
      </w:r>
      <w:r>
        <w:rPr>
          <w:rFonts w:ascii="Times New Roman" w:hAnsi="Times New Roman" w:hint="eastAsia"/>
          <w:color w:val="000000"/>
          <w:kern w:val="2"/>
          <w:sz w:val="24"/>
          <w:szCs w:val="24"/>
        </w:rPr>
        <w:t>日；</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（三）注册资本：人民</w:t>
      </w:r>
      <w:r>
        <w:rPr>
          <w:rFonts w:ascii="Times New Roman" w:hAnsi="Times New Roman"/>
          <w:color w:val="000000"/>
          <w:kern w:val="2"/>
          <w:sz w:val="24"/>
          <w:szCs w:val="24"/>
        </w:rPr>
        <w:t>币</w:t>
      </w:r>
      <w:r>
        <w:rPr>
          <w:rFonts w:ascii="Times New Roman" w:hAnsi="Times New Roman"/>
          <w:color w:val="000000"/>
          <w:kern w:val="2"/>
          <w:sz w:val="24"/>
          <w:szCs w:val="24"/>
        </w:rPr>
        <w:t>5,000</w:t>
      </w:r>
      <w:r>
        <w:rPr>
          <w:rFonts w:ascii="Times New Roman" w:hAnsi="Times New Roman" w:hint="eastAsia"/>
          <w:color w:val="000000"/>
          <w:kern w:val="2"/>
          <w:sz w:val="24"/>
          <w:szCs w:val="24"/>
        </w:rPr>
        <w:t>万元；</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（四）注册地点：厦门市翔安区新店镇春江里</w:t>
      </w:r>
      <w:r>
        <w:rPr>
          <w:rFonts w:ascii="Times New Roman" w:hAnsi="Times New Roman" w:hint="eastAsia"/>
          <w:color w:val="000000"/>
          <w:kern w:val="2"/>
          <w:sz w:val="24"/>
          <w:szCs w:val="24"/>
        </w:rPr>
        <w:t>14</w:t>
      </w:r>
      <w:r>
        <w:rPr>
          <w:rFonts w:ascii="Times New Roman" w:hAnsi="Times New Roman" w:hint="eastAsia"/>
          <w:color w:val="000000"/>
          <w:kern w:val="2"/>
          <w:sz w:val="24"/>
          <w:szCs w:val="24"/>
        </w:rPr>
        <w:t>号</w:t>
      </w:r>
      <w:r>
        <w:rPr>
          <w:rFonts w:ascii="Times New Roman" w:hAnsi="Times New Roman" w:hint="eastAsia"/>
          <w:color w:val="000000"/>
          <w:kern w:val="2"/>
          <w:sz w:val="24"/>
          <w:szCs w:val="24"/>
        </w:rPr>
        <w:t>208</w:t>
      </w:r>
      <w:r>
        <w:rPr>
          <w:rFonts w:ascii="Times New Roman" w:hAnsi="Times New Roman" w:hint="eastAsia"/>
          <w:color w:val="000000"/>
          <w:kern w:val="2"/>
          <w:sz w:val="24"/>
          <w:szCs w:val="24"/>
        </w:rPr>
        <w:t>室；</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lastRenderedPageBreak/>
        <w:t>（五）主营业务：对房地产业、酒店业的投资；对旅游产业的投资及资产管理；市政工程、园林绿化工程、装饰装修工程的施工；物业管理；自有商业房屋租赁；房地产开发与经营。</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（六）股东情况：</w:t>
      </w:r>
      <w:r w:rsidR="00572E2E" w:rsidRPr="00347E8C">
        <w:rPr>
          <w:rFonts w:ascii="Times New Roman" w:hAnsi="Times New Roman" w:hint="eastAsia"/>
          <w:color w:val="000000"/>
          <w:kern w:val="2"/>
          <w:sz w:val="24"/>
          <w:szCs w:val="24"/>
        </w:rPr>
        <w:t>公司全资子公司福建阳光房地产开发有限公司持有其</w:t>
      </w:r>
      <w:r w:rsidR="00572E2E">
        <w:rPr>
          <w:rFonts w:ascii="Times New Roman" w:hAnsi="Times New Roman" w:hint="eastAsia"/>
          <w:color w:val="000000"/>
          <w:kern w:val="2"/>
          <w:sz w:val="24"/>
          <w:szCs w:val="24"/>
        </w:rPr>
        <w:t>100</w:t>
      </w:r>
      <w:r w:rsidR="00572E2E" w:rsidRPr="00347E8C">
        <w:rPr>
          <w:rFonts w:ascii="Times New Roman" w:hAnsi="Times New Roman" w:hint="eastAsia"/>
          <w:color w:val="000000"/>
          <w:kern w:val="2"/>
          <w:sz w:val="24"/>
          <w:szCs w:val="24"/>
        </w:rPr>
        <w:t>%</w:t>
      </w:r>
      <w:r w:rsidR="00572E2E" w:rsidRPr="00347E8C">
        <w:rPr>
          <w:rFonts w:ascii="Times New Roman" w:hAnsi="Times New Roman" w:hint="eastAsia"/>
          <w:color w:val="000000"/>
          <w:kern w:val="2"/>
          <w:sz w:val="24"/>
          <w:szCs w:val="24"/>
        </w:rPr>
        <w:t>股权</w:t>
      </w:r>
      <w:r>
        <w:rPr>
          <w:rFonts w:ascii="Times New Roman" w:hAnsi="Times New Roman" w:hint="eastAsia"/>
          <w:color w:val="000000"/>
          <w:kern w:val="2"/>
          <w:sz w:val="24"/>
          <w:szCs w:val="24"/>
        </w:rPr>
        <w:t>；</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（七）最近一年及一期财务数据（单位：万元）</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2999"/>
        <w:gridCol w:w="2997"/>
      </w:tblGrid>
      <w:tr w:rsidR="00DD18A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Default="00DD18AC">
            <w:pPr>
              <w:widowControl w:val="0"/>
              <w:spacing w:after="0" w:line="240" w:lineRule="auto"/>
              <w:jc w:val="center"/>
              <w:rPr>
                <w:rFonts w:ascii="Times New Roman" w:hAnsi="Times New Roman"/>
                <w:color w:val="000000"/>
                <w:kern w:val="2"/>
                <w:sz w:val="21"/>
                <w:szCs w:val="21"/>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2016</w:t>
            </w:r>
            <w:r>
              <w:rPr>
                <w:rFonts w:ascii="Times New Roman" w:hAnsi="Times New Roman" w:hint="eastAsia"/>
                <w:b/>
                <w:color w:val="000000"/>
                <w:kern w:val="2"/>
                <w:sz w:val="21"/>
                <w:szCs w:val="21"/>
              </w:rPr>
              <w:t>年</w:t>
            </w:r>
            <w:r>
              <w:rPr>
                <w:rFonts w:ascii="Times New Roman" w:hAnsi="Times New Roman"/>
                <w:b/>
                <w:color w:val="000000"/>
                <w:kern w:val="2"/>
                <w:sz w:val="21"/>
                <w:szCs w:val="21"/>
              </w:rPr>
              <w:t>12</w:t>
            </w:r>
            <w:r>
              <w:rPr>
                <w:rFonts w:ascii="Times New Roman" w:hAnsi="Times New Roman" w:hint="eastAsia"/>
                <w:b/>
                <w:color w:val="000000"/>
                <w:kern w:val="2"/>
                <w:sz w:val="21"/>
                <w:szCs w:val="21"/>
              </w:rPr>
              <w:t>月</w:t>
            </w:r>
            <w:r>
              <w:rPr>
                <w:rFonts w:ascii="Times New Roman" w:hAnsi="Times New Roman"/>
                <w:b/>
                <w:color w:val="000000"/>
                <w:kern w:val="2"/>
                <w:sz w:val="21"/>
                <w:szCs w:val="21"/>
              </w:rPr>
              <w:t>31</w:t>
            </w:r>
            <w:r>
              <w:rPr>
                <w:rFonts w:ascii="Times New Roman" w:hAnsi="Times New Roman" w:hint="eastAsia"/>
                <w:b/>
                <w:color w:val="000000"/>
                <w:kern w:val="2"/>
                <w:sz w:val="21"/>
                <w:szCs w:val="21"/>
              </w:rPr>
              <w:t>日</w:t>
            </w:r>
          </w:p>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hint="eastAsia"/>
                <w:b/>
                <w:color w:val="000000"/>
                <w:kern w:val="2"/>
                <w:sz w:val="21"/>
                <w:szCs w:val="21"/>
              </w:rPr>
              <w:t>（经审计）</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2017</w:t>
            </w:r>
            <w:r>
              <w:rPr>
                <w:rFonts w:ascii="Times New Roman" w:hAnsi="Times New Roman" w:hint="eastAsia"/>
                <w:b/>
                <w:color w:val="000000"/>
                <w:kern w:val="2"/>
                <w:sz w:val="21"/>
                <w:szCs w:val="21"/>
              </w:rPr>
              <w:t>年</w:t>
            </w:r>
            <w:r>
              <w:rPr>
                <w:rFonts w:ascii="Times New Roman" w:hAnsi="Times New Roman"/>
                <w:b/>
                <w:color w:val="000000"/>
                <w:kern w:val="2"/>
                <w:sz w:val="21"/>
                <w:szCs w:val="21"/>
              </w:rPr>
              <w:t>9</w:t>
            </w:r>
            <w:r>
              <w:rPr>
                <w:rFonts w:ascii="Times New Roman" w:hAnsi="Times New Roman" w:hint="eastAsia"/>
                <w:b/>
                <w:color w:val="000000"/>
                <w:kern w:val="2"/>
                <w:sz w:val="21"/>
                <w:szCs w:val="21"/>
              </w:rPr>
              <w:t>月</w:t>
            </w:r>
            <w:r>
              <w:rPr>
                <w:rFonts w:ascii="Times New Roman" w:hAnsi="Times New Roman"/>
                <w:b/>
                <w:color w:val="000000"/>
                <w:kern w:val="2"/>
                <w:sz w:val="21"/>
                <w:szCs w:val="21"/>
              </w:rPr>
              <w:t>30</w:t>
            </w:r>
            <w:r>
              <w:rPr>
                <w:rFonts w:ascii="Times New Roman" w:hAnsi="Times New Roman" w:hint="eastAsia"/>
                <w:b/>
                <w:color w:val="000000"/>
                <w:kern w:val="2"/>
                <w:sz w:val="21"/>
                <w:szCs w:val="21"/>
              </w:rPr>
              <w:t>日</w:t>
            </w:r>
          </w:p>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hint="eastAsia"/>
                <w:b/>
                <w:color w:val="000000"/>
                <w:kern w:val="2"/>
                <w:sz w:val="21"/>
                <w:szCs w:val="21"/>
              </w:rPr>
              <w:t>（未经审计）</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资产总额</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spacing w:after="0" w:line="240" w:lineRule="auto"/>
              <w:jc w:val="right"/>
              <w:rPr>
                <w:rFonts w:ascii="Times New Roman" w:hAnsi="Times New Roman"/>
                <w:kern w:val="2"/>
                <w:sz w:val="21"/>
                <w:szCs w:val="21"/>
              </w:rPr>
            </w:pPr>
            <w:r w:rsidRPr="008B0A28">
              <w:rPr>
                <w:rFonts w:ascii="Times New Roman" w:hAnsi="Times New Roman" w:hint="eastAsia"/>
                <w:kern w:val="2"/>
                <w:sz w:val="21"/>
                <w:szCs w:val="21"/>
              </w:rPr>
              <w:t>267</w:t>
            </w:r>
            <w:r w:rsidR="002146BA" w:rsidRPr="008B0A28">
              <w:rPr>
                <w:rFonts w:ascii="Times New Roman" w:hAnsi="Times New Roman"/>
                <w:kern w:val="2"/>
                <w:sz w:val="21"/>
                <w:szCs w:val="21"/>
              </w:rPr>
              <w:t>,</w:t>
            </w:r>
            <w:r w:rsidRPr="008B0A28">
              <w:rPr>
                <w:rFonts w:ascii="Times New Roman" w:hAnsi="Times New Roman" w:hint="eastAsia"/>
                <w:kern w:val="2"/>
                <w:sz w:val="21"/>
                <w:szCs w:val="21"/>
              </w:rPr>
              <w:t>548.23</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spacing w:after="0" w:line="240" w:lineRule="auto"/>
              <w:jc w:val="right"/>
              <w:rPr>
                <w:rFonts w:ascii="Times New Roman" w:hAnsi="Times New Roman"/>
                <w:kern w:val="2"/>
                <w:sz w:val="21"/>
                <w:szCs w:val="21"/>
              </w:rPr>
            </w:pPr>
            <w:r w:rsidRPr="008B0A28">
              <w:rPr>
                <w:rFonts w:ascii="Times New Roman" w:hAnsi="Times New Roman" w:hint="eastAsia"/>
                <w:kern w:val="2"/>
                <w:sz w:val="21"/>
                <w:szCs w:val="21"/>
              </w:rPr>
              <w:t>317</w:t>
            </w:r>
            <w:r w:rsidR="002146BA" w:rsidRPr="008B0A28">
              <w:rPr>
                <w:rFonts w:ascii="Times New Roman" w:hAnsi="Times New Roman"/>
                <w:kern w:val="2"/>
                <w:sz w:val="21"/>
                <w:szCs w:val="21"/>
              </w:rPr>
              <w:t>,</w:t>
            </w:r>
            <w:r w:rsidRPr="008B0A28">
              <w:rPr>
                <w:rFonts w:ascii="Times New Roman" w:hAnsi="Times New Roman" w:hint="eastAsia"/>
                <w:kern w:val="2"/>
                <w:sz w:val="21"/>
                <w:szCs w:val="21"/>
              </w:rPr>
              <w:t>649.08</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负债总额</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251</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845.01</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301</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190.20</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净资产</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15</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703.22</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16</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458.88</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DD18AC">
            <w:pPr>
              <w:widowControl w:val="0"/>
              <w:spacing w:after="0" w:line="240" w:lineRule="auto"/>
              <w:jc w:val="center"/>
              <w:rPr>
                <w:rFonts w:ascii="Times New Roman" w:hAnsi="Times New Roman"/>
                <w:b/>
                <w:color w:val="000000"/>
                <w:kern w:val="2"/>
                <w:sz w:val="21"/>
                <w:szCs w:val="21"/>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2016</w:t>
            </w:r>
            <w:r w:rsidRPr="008B0A28">
              <w:rPr>
                <w:rFonts w:ascii="Times New Roman" w:hAnsi="Times New Roman" w:hint="eastAsia"/>
                <w:b/>
                <w:color w:val="000000"/>
                <w:kern w:val="2"/>
                <w:sz w:val="21"/>
                <w:szCs w:val="21"/>
              </w:rPr>
              <w:t>年</w:t>
            </w:r>
            <w:r w:rsidRPr="008B0A28">
              <w:rPr>
                <w:rFonts w:ascii="Times New Roman" w:hAnsi="Times New Roman"/>
                <w:b/>
                <w:color w:val="000000"/>
                <w:kern w:val="2"/>
                <w:sz w:val="21"/>
                <w:szCs w:val="21"/>
              </w:rPr>
              <w:t>1-12</w:t>
            </w:r>
            <w:r w:rsidRPr="008B0A28">
              <w:rPr>
                <w:rFonts w:ascii="Times New Roman" w:hAnsi="Times New Roman" w:hint="eastAsia"/>
                <w:b/>
                <w:color w:val="000000"/>
                <w:kern w:val="2"/>
                <w:sz w:val="21"/>
                <w:szCs w:val="21"/>
              </w:rPr>
              <w:t>月</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2017</w:t>
            </w:r>
            <w:r w:rsidRPr="008B0A28">
              <w:rPr>
                <w:rFonts w:ascii="Times New Roman" w:hAnsi="Times New Roman" w:hint="eastAsia"/>
                <w:b/>
                <w:color w:val="000000"/>
                <w:kern w:val="2"/>
                <w:sz w:val="21"/>
                <w:szCs w:val="21"/>
              </w:rPr>
              <w:t>年</w:t>
            </w:r>
            <w:r w:rsidRPr="008B0A28">
              <w:rPr>
                <w:rFonts w:ascii="Times New Roman" w:hAnsi="Times New Roman"/>
                <w:b/>
                <w:color w:val="000000"/>
                <w:kern w:val="2"/>
                <w:sz w:val="21"/>
                <w:szCs w:val="21"/>
              </w:rPr>
              <w:t>1-9</w:t>
            </w:r>
            <w:r w:rsidRPr="008B0A28">
              <w:rPr>
                <w:rFonts w:ascii="Times New Roman" w:hAnsi="Times New Roman" w:hint="eastAsia"/>
                <w:b/>
                <w:color w:val="000000"/>
                <w:kern w:val="2"/>
                <w:sz w:val="21"/>
                <w:szCs w:val="21"/>
              </w:rPr>
              <w:t>月</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营业收入</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2</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282.11</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5</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435.34</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净利润</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5</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044.15</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D62496">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755.66</w:t>
            </w:r>
          </w:p>
        </w:tc>
      </w:tr>
    </w:tbl>
    <w:p w:rsidR="00640EB6" w:rsidRDefault="00817B1B" w:rsidP="00187B60">
      <w:pPr>
        <w:widowControl w:val="0"/>
        <w:spacing w:after="0" w:line="360" w:lineRule="auto"/>
        <w:ind w:firstLineChars="200" w:firstLine="420"/>
        <w:jc w:val="both"/>
        <w:rPr>
          <w:rFonts w:ascii="宋体" w:hAnsi="宋体" w:hint="eastAsia"/>
          <w:color w:val="000000"/>
          <w:kern w:val="2"/>
          <w:sz w:val="21"/>
          <w:szCs w:val="21"/>
        </w:rPr>
      </w:pPr>
      <w:r w:rsidRPr="008B0A28">
        <w:rPr>
          <w:rFonts w:ascii="宋体" w:hAnsi="宋体" w:hint="eastAsia"/>
          <w:color w:val="000000"/>
          <w:kern w:val="2"/>
          <w:sz w:val="21"/>
          <w:szCs w:val="21"/>
        </w:rPr>
        <w:t>以上</w:t>
      </w:r>
      <w:r w:rsidR="00566299" w:rsidRPr="0062553E">
        <w:rPr>
          <w:rFonts w:ascii="宋体" w:hAnsi="宋体" w:hint="eastAsia"/>
          <w:color w:val="000000" w:themeColor="text1"/>
          <w:kern w:val="2"/>
          <w:sz w:val="21"/>
          <w:szCs w:val="21"/>
        </w:rPr>
        <w:t>2016年</w:t>
      </w:r>
      <w:r w:rsidRPr="008B0A28">
        <w:rPr>
          <w:rFonts w:ascii="宋体" w:hAnsi="宋体" w:hint="eastAsia"/>
          <w:color w:val="000000"/>
          <w:kern w:val="2"/>
          <w:sz w:val="21"/>
          <w:szCs w:val="21"/>
        </w:rPr>
        <w:t>财务数据经立信中联会计师事务所（特殊普通合伙）(以下简称“立信中联所”)审计，并出具立信中联审</w:t>
      </w:r>
      <w:r w:rsidRPr="008B0A28">
        <w:rPr>
          <w:rFonts w:ascii="Times New Roman" w:hAnsi="Times New Roman"/>
          <w:color w:val="000000"/>
          <w:kern w:val="2"/>
          <w:sz w:val="21"/>
          <w:szCs w:val="21"/>
        </w:rPr>
        <w:t>字</w:t>
      </w:r>
      <w:r w:rsidRPr="008B0A28">
        <w:rPr>
          <w:rFonts w:ascii="Times New Roman" w:hAnsi="Times New Roman" w:hint="eastAsia"/>
          <w:color w:val="000000"/>
          <w:kern w:val="2"/>
          <w:sz w:val="21"/>
          <w:szCs w:val="21"/>
        </w:rPr>
        <w:t>【</w:t>
      </w:r>
      <w:r w:rsidRPr="008B0A28">
        <w:rPr>
          <w:rFonts w:ascii="Times New Roman" w:hAnsi="Times New Roman" w:hint="eastAsia"/>
          <w:color w:val="000000"/>
          <w:kern w:val="2"/>
          <w:sz w:val="21"/>
          <w:szCs w:val="21"/>
        </w:rPr>
        <w:t>2017</w:t>
      </w:r>
      <w:r w:rsidRPr="008B0A28">
        <w:rPr>
          <w:rFonts w:ascii="Times New Roman" w:hAnsi="Times New Roman" w:hint="eastAsia"/>
          <w:color w:val="000000"/>
          <w:kern w:val="2"/>
          <w:sz w:val="21"/>
          <w:szCs w:val="21"/>
        </w:rPr>
        <w:t>】</w:t>
      </w:r>
      <w:r w:rsidRPr="008B0A28">
        <w:rPr>
          <w:rFonts w:ascii="Times New Roman" w:hAnsi="Times New Roman" w:hint="eastAsia"/>
          <w:color w:val="000000"/>
          <w:kern w:val="2"/>
          <w:sz w:val="21"/>
          <w:szCs w:val="21"/>
        </w:rPr>
        <w:t>D-0053</w:t>
      </w:r>
      <w:r w:rsidRPr="008B0A28">
        <w:rPr>
          <w:rFonts w:ascii="Times New Roman" w:hAnsi="Times New Roman"/>
          <w:color w:val="000000"/>
          <w:kern w:val="2"/>
          <w:sz w:val="21"/>
          <w:szCs w:val="21"/>
        </w:rPr>
        <w:t>号</w:t>
      </w:r>
      <w:r w:rsidRPr="008B0A28">
        <w:rPr>
          <w:rFonts w:ascii="宋体" w:hAnsi="宋体" w:hint="eastAsia"/>
          <w:color w:val="000000"/>
          <w:kern w:val="2"/>
          <w:sz w:val="21"/>
          <w:szCs w:val="21"/>
        </w:rPr>
        <w:t>《审计报告》。</w:t>
      </w:r>
    </w:p>
    <w:p w:rsidR="004E1445" w:rsidRDefault="004E1445" w:rsidP="00640EB6">
      <w:pPr>
        <w:widowControl w:val="0"/>
        <w:spacing w:after="0" w:line="360" w:lineRule="auto"/>
        <w:ind w:firstLineChars="200" w:firstLine="480"/>
        <w:jc w:val="both"/>
        <w:rPr>
          <w:color w:val="000000" w:themeColor="text1"/>
          <w:sz w:val="24"/>
        </w:rPr>
      </w:pPr>
      <w:r w:rsidRPr="00726764">
        <w:rPr>
          <w:rFonts w:hint="eastAsia"/>
          <w:color w:val="000000" w:themeColor="text1"/>
          <w:sz w:val="24"/>
        </w:rPr>
        <w:t>（八）最新的信用等级状况：信用状况良好。</w:t>
      </w:r>
    </w:p>
    <w:p w:rsidR="00E9510E" w:rsidRDefault="00817B1B">
      <w:pPr>
        <w:autoSpaceDE w:val="0"/>
        <w:autoSpaceDN w:val="0"/>
        <w:adjustRightInd w:val="0"/>
        <w:spacing w:line="360" w:lineRule="auto"/>
        <w:ind w:firstLineChars="200" w:firstLine="480"/>
        <w:rPr>
          <w:rFonts w:ascii="Times New Roman" w:hAnsi="Times New Roman"/>
          <w:kern w:val="2"/>
          <w:sz w:val="24"/>
          <w:szCs w:val="24"/>
        </w:rPr>
      </w:pPr>
      <w:r>
        <w:rPr>
          <w:rFonts w:ascii="Times New Roman" w:hAnsi="Times New Roman" w:hint="eastAsia"/>
          <w:kern w:val="2"/>
          <w:sz w:val="24"/>
          <w:szCs w:val="24"/>
        </w:rPr>
        <w:t>（</w:t>
      </w:r>
      <w:r w:rsidR="004E1445">
        <w:rPr>
          <w:rFonts w:ascii="Times New Roman" w:hAnsi="Times New Roman" w:hint="eastAsia"/>
          <w:kern w:val="2"/>
          <w:sz w:val="24"/>
          <w:szCs w:val="24"/>
        </w:rPr>
        <w:t>九</w:t>
      </w:r>
      <w:r>
        <w:rPr>
          <w:rFonts w:ascii="Times New Roman" w:hAnsi="Times New Roman" w:hint="eastAsia"/>
          <w:kern w:val="2"/>
          <w:sz w:val="24"/>
          <w:szCs w:val="24"/>
        </w:rPr>
        <w:t>）</w:t>
      </w:r>
      <w:r w:rsidR="00566299">
        <w:rPr>
          <w:rFonts w:ascii="Times New Roman" w:hAnsi="Times New Roman" w:hint="eastAsia"/>
          <w:kern w:val="2"/>
          <w:sz w:val="24"/>
          <w:szCs w:val="24"/>
        </w:rPr>
        <w:t>项目概况</w:t>
      </w:r>
    </w:p>
    <w:tbl>
      <w:tblPr>
        <w:tblStyle w:val="1"/>
        <w:tblW w:w="8891" w:type="dxa"/>
        <w:jc w:val="center"/>
        <w:tblLayout w:type="fixed"/>
        <w:tblLook w:val="04A0"/>
      </w:tblPr>
      <w:tblGrid>
        <w:gridCol w:w="1215"/>
        <w:gridCol w:w="1985"/>
        <w:gridCol w:w="1417"/>
        <w:gridCol w:w="2239"/>
        <w:gridCol w:w="851"/>
        <w:gridCol w:w="1184"/>
      </w:tblGrid>
      <w:tr w:rsidR="00DD18AC">
        <w:trPr>
          <w:jc w:val="center"/>
        </w:trPr>
        <w:tc>
          <w:tcPr>
            <w:tcW w:w="1215"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土地编号</w:t>
            </w:r>
          </w:p>
        </w:tc>
        <w:tc>
          <w:tcPr>
            <w:tcW w:w="1985"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土地位置</w:t>
            </w:r>
          </w:p>
        </w:tc>
        <w:tc>
          <w:tcPr>
            <w:tcW w:w="1417"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土地证面积（平方米）</w:t>
            </w:r>
          </w:p>
        </w:tc>
        <w:tc>
          <w:tcPr>
            <w:tcW w:w="2239"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土地用途</w:t>
            </w:r>
          </w:p>
        </w:tc>
        <w:tc>
          <w:tcPr>
            <w:tcW w:w="851"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容积率</w:t>
            </w:r>
          </w:p>
        </w:tc>
        <w:tc>
          <w:tcPr>
            <w:tcW w:w="1184"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出让年限</w:t>
            </w:r>
          </w:p>
        </w:tc>
      </w:tr>
      <w:tr w:rsidR="00DD18AC" w:rsidRPr="00281BE9">
        <w:trPr>
          <w:jc w:val="center"/>
        </w:trPr>
        <w:tc>
          <w:tcPr>
            <w:tcW w:w="1215" w:type="dxa"/>
            <w:vAlign w:val="center"/>
          </w:tcPr>
          <w:p w:rsidR="00DD18AC" w:rsidRPr="00281BE9" w:rsidRDefault="00817B1B">
            <w:pPr>
              <w:widowControl w:val="0"/>
              <w:spacing w:after="0" w:line="240" w:lineRule="auto"/>
              <w:jc w:val="center"/>
              <w:rPr>
                <w:rFonts w:ascii="Times New Roman" w:hAnsi="Times New Roman"/>
                <w:color w:val="000000"/>
                <w:kern w:val="2"/>
                <w:sz w:val="21"/>
                <w:szCs w:val="21"/>
              </w:rPr>
            </w:pPr>
            <w:r w:rsidRPr="00281BE9">
              <w:rPr>
                <w:rFonts w:ascii="Times New Roman" w:hAnsi="Times New Roman"/>
                <w:color w:val="000000"/>
                <w:kern w:val="2"/>
                <w:sz w:val="21"/>
                <w:szCs w:val="21"/>
              </w:rPr>
              <w:t>2012XP02</w:t>
            </w:r>
          </w:p>
        </w:tc>
        <w:tc>
          <w:tcPr>
            <w:tcW w:w="1985" w:type="dxa"/>
            <w:vAlign w:val="center"/>
          </w:tcPr>
          <w:p w:rsidR="00DD18AC" w:rsidRPr="00281BE9" w:rsidRDefault="00817B1B">
            <w:pPr>
              <w:widowControl w:val="0"/>
              <w:spacing w:after="0" w:line="240" w:lineRule="auto"/>
              <w:jc w:val="center"/>
              <w:rPr>
                <w:rFonts w:ascii="Times New Roman" w:hAnsi="Times New Roman"/>
                <w:kern w:val="2"/>
                <w:sz w:val="21"/>
                <w:szCs w:val="21"/>
              </w:rPr>
            </w:pPr>
            <w:r w:rsidRPr="00281BE9">
              <w:rPr>
                <w:rFonts w:ascii="Times New Roman" w:hAnsi="Times New Roman" w:hint="eastAsia"/>
                <w:kern w:val="2"/>
                <w:sz w:val="21"/>
                <w:szCs w:val="21"/>
              </w:rPr>
              <w:t>翔安新城首期开发区翔安大道与肖厝南路交叉口东北侧</w:t>
            </w:r>
          </w:p>
        </w:tc>
        <w:tc>
          <w:tcPr>
            <w:tcW w:w="1417" w:type="dxa"/>
            <w:vAlign w:val="center"/>
          </w:tcPr>
          <w:p w:rsidR="00DD18AC" w:rsidRPr="00281BE9" w:rsidRDefault="00817B1B">
            <w:pPr>
              <w:widowControl w:val="0"/>
              <w:spacing w:after="0" w:line="240" w:lineRule="auto"/>
              <w:jc w:val="center"/>
              <w:rPr>
                <w:rFonts w:ascii="Times New Roman" w:hAnsi="Times New Roman"/>
                <w:kern w:val="2"/>
                <w:sz w:val="21"/>
                <w:szCs w:val="21"/>
              </w:rPr>
            </w:pPr>
            <w:r w:rsidRPr="00281BE9">
              <w:rPr>
                <w:rFonts w:ascii="Times New Roman" w:hAnsi="Times New Roman"/>
                <w:kern w:val="2"/>
                <w:sz w:val="21"/>
                <w:szCs w:val="21"/>
              </w:rPr>
              <w:t>113,036.07</w:t>
            </w:r>
          </w:p>
        </w:tc>
        <w:tc>
          <w:tcPr>
            <w:tcW w:w="2239" w:type="dxa"/>
            <w:vAlign w:val="center"/>
          </w:tcPr>
          <w:p w:rsidR="00DD18AC" w:rsidRPr="00281BE9" w:rsidRDefault="00817B1B">
            <w:pPr>
              <w:widowControl w:val="0"/>
              <w:spacing w:after="0" w:line="240" w:lineRule="auto"/>
              <w:jc w:val="center"/>
              <w:rPr>
                <w:rFonts w:ascii="Times New Roman" w:hAnsi="Times New Roman"/>
                <w:color w:val="000000"/>
                <w:kern w:val="2"/>
                <w:sz w:val="21"/>
                <w:szCs w:val="21"/>
              </w:rPr>
            </w:pPr>
            <w:r w:rsidRPr="00281BE9">
              <w:rPr>
                <w:rFonts w:ascii="Times New Roman" w:hAnsi="Times New Roman" w:hint="eastAsia"/>
                <w:color w:val="000000"/>
                <w:kern w:val="2"/>
                <w:sz w:val="21"/>
                <w:szCs w:val="21"/>
              </w:rPr>
              <w:t>城镇住宅用地（住宅），批发零售用地（商业）、科教用地（幼儿园）</w:t>
            </w:r>
          </w:p>
        </w:tc>
        <w:tc>
          <w:tcPr>
            <w:tcW w:w="851" w:type="dxa"/>
            <w:vAlign w:val="center"/>
          </w:tcPr>
          <w:p w:rsidR="00DD18AC" w:rsidRPr="00281BE9" w:rsidRDefault="00817B1B">
            <w:pPr>
              <w:widowControl w:val="0"/>
              <w:spacing w:after="0" w:line="240" w:lineRule="auto"/>
              <w:jc w:val="center"/>
              <w:rPr>
                <w:rFonts w:ascii="Times New Roman" w:hAnsi="Times New Roman"/>
                <w:color w:val="000000"/>
                <w:kern w:val="2"/>
                <w:sz w:val="21"/>
                <w:szCs w:val="21"/>
              </w:rPr>
            </w:pPr>
            <w:r w:rsidRPr="00281BE9">
              <w:rPr>
                <w:rFonts w:ascii="Times New Roman" w:hAnsi="Times New Roman" w:hint="eastAsia"/>
                <w:kern w:val="2"/>
                <w:sz w:val="21"/>
                <w:szCs w:val="21"/>
              </w:rPr>
              <w:t>≤</w:t>
            </w:r>
            <w:r w:rsidRPr="00281BE9">
              <w:rPr>
                <w:rFonts w:ascii="Times New Roman" w:hAnsi="Times New Roman" w:hint="eastAsia"/>
                <w:kern w:val="2"/>
                <w:sz w:val="21"/>
                <w:szCs w:val="21"/>
              </w:rPr>
              <w:t>2.52</w:t>
            </w:r>
          </w:p>
        </w:tc>
        <w:tc>
          <w:tcPr>
            <w:tcW w:w="1184" w:type="dxa"/>
            <w:vAlign w:val="center"/>
          </w:tcPr>
          <w:p w:rsidR="00DD18AC" w:rsidRPr="00281BE9" w:rsidRDefault="00817B1B">
            <w:pPr>
              <w:widowControl w:val="0"/>
              <w:spacing w:after="0" w:line="240" w:lineRule="auto"/>
              <w:jc w:val="center"/>
              <w:rPr>
                <w:rFonts w:ascii="Times New Roman" w:hAnsi="Times New Roman"/>
                <w:color w:val="000000"/>
                <w:kern w:val="2"/>
                <w:sz w:val="21"/>
                <w:szCs w:val="21"/>
              </w:rPr>
            </w:pPr>
            <w:r w:rsidRPr="00281BE9">
              <w:rPr>
                <w:rFonts w:ascii="Times New Roman" w:hAnsi="Times New Roman" w:hint="eastAsia"/>
                <w:color w:val="000000"/>
                <w:kern w:val="2"/>
                <w:sz w:val="21"/>
                <w:szCs w:val="21"/>
              </w:rPr>
              <w:t>商业</w:t>
            </w:r>
            <w:r w:rsidRPr="00281BE9">
              <w:rPr>
                <w:rFonts w:ascii="Times New Roman" w:hAnsi="Times New Roman"/>
                <w:color w:val="000000"/>
                <w:kern w:val="2"/>
                <w:sz w:val="21"/>
                <w:szCs w:val="21"/>
              </w:rPr>
              <w:t>40</w:t>
            </w:r>
            <w:r w:rsidRPr="00281BE9">
              <w:rPr>
                <w:rFonts w:ascii="Times New Roman" w:hAnsi="Times New Roman" w:hint="eastAsia"/>
                <w:color w:val="000000"/>
                <w:kern w:val="2"/>
                <w:sz w:val="21"/>
                <w:szCs w:val="21"/>
              </w:rPr>
              <w:t>年</w:t>
            </w:r>
          </w:p>
          <w:p w:rsidR="00DD18AC" w:rsidRPr="00281BE9" w:rsidRDefault="00817B1B">
            <w:pPr>
              <w:widowControl w:val="0"/>
              <w:spacing w:after="0" w:line="240" w:lineRule="auto"/>
              <w:jc w:val="center"/>
              <w:rPr>
                <w:rFonts w:ascii="Times New Roman" w:hAnsi="Times New Roman"/>
                <w:color w:val="000000"/>
                <w:kern w:val="2"/>
                <w:sz w:val="21"/>
                <w:szCs w:val="21"/>
              </w:rPr>
            </w:pPr>
            <w:r w:rsidRPr="00281BE9">
              <w:rPr>
                <w:rFonts w:ascii="Times New Roman" w:hAnsi="Times New Roman" w:hint="eastAsia"/>
                <w:color w:val="000000"/>
                <w:kern w:val="2"/>
                <w:sz w:val="21"/>
                <w:szCs w:val="21"/>
              </w:rPr>
              <w:t>住宅</w:t>
            </w:r>
            <w:r w:rsidRPr="00281BE9">
              <w:rPr>
                <w:rFonts w:ascii="Times New Roman" w:hAnsi="Times New Roman"/>
                <w:color w:val="000000"/>
                <w:kern w:val="2"/>
                <w:sz w:val="21"/>
                <w:szCs w:val="21"/>
              </w:rPr>
              <w:t>70</w:t>
            </w:r>
            <w:r w:rsidRPr="00281BE9">
              <w:rPr>
                <w:rFonts w:ascii="Times New Roman" w:hAnsi="Times New Roman" w:hint="eastAsia"/>
                <w:color w:val="000000"/>
                <w:kern w:val="2"/>
                <w:sz w:val="21"/>
                <w:szCs w:val="21"/>
              </w:rPr>
              <w:t>年</w:t>
            </w:r>
          </w:p>
        </w:tc>
        <w:bookmarkStart w:id="0" w:name="_GoBack"/>
        <w:bookmarkEnd w:id="0"/>
      </w:tr>
    </w:tbl>
    <w:p w:rsidR="00DD18AC" w:rsidRDefault="00DD18AC">
      <w:pPr>
        <w:widowControl w:val="0"/>
        <w:spacing w:after="0" w:line="360" w:lineRule="auto"/>
        <w:ind w:firstLineChars="200" w:firstLine="480"/>
        <w:jc w:val="both"/>
        <w:rPr>
          <w:rFonts w:ascii="Times New Roman" w:hAnsi="Times New Roman"/>
          <w:kern w:val="2"/>
          <w:sz w:val="24"/>
          <w:szCs w:val="24"/>
          <w:highlight w:val="yellow"/>
        </w:rPr>
      </w:pPr>
    </w:p>
    <w:p w:rsidR="00DD18AC" w:rsidRDefault="00817B1B">
      <w:pPr>
        <w:widowControl w:val="0"/>
        <w:spacing w:after="0" w:line="360" w:lineRule="auto"/>
        <w:ind w:firstLineChars="200" w:firstLine="482"/>
        <w:jc w:val="both"/>
        <w:rPr>
          <w:rFonts w:ascii="楷体_GB2312" w:eastAsia="楷体_GB2312" w:hAnsi="宋体"/>
          <w:color w:val="000000"/>
          <w:sz w:val="24"/>
          <w:szCs w:val="24"/>
        </w:rPr>
      </w:pPr>
      <w:r>
        <w:rPr>
          <w:rFonts w:ascii="宋体" w:hAnsi="宋体" w:cs="宋体" w:hint="eastAsia"/>
          <w:b/>
          <w:color w:val="000000"/>
          <w:sz w:val="24"/>
          <w:szCs w:val="24"/>
        </w:rPr>
        <w:t>三、本次交易拟签署协议的主要内容</w:t>
      </w:r>
    </w:p>
    <w:p w:rsidR="005D4619" w:rsidRDefault="005D4619" w:rsidP="005D4619">
      <w:pPr>
        <w:widowControl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公司</w:t>
      </w:r>
      <w:r w:rsidR="004E1445">
        <w:rPr>
          <w:rFonts w:ascii="宋体" w:hAnsi="宋体" w:hint="eastAsia"/>
          <w:color w:val="000000"/>
          <w:kern w:val="2"/>
          <w:sz w:val="24"/>
          <w:szCs w:val="24"/>
        </w:rPr>
        <w:t>合并</w:t>
      </w:r>
      <w:r>
        <w:rPr>
          <w:rFonts w:ascii="宋体" w:hAnsi="宋体" w:hint="eastAsia"/>
          <w:color w:val="000000"/>
          <w:kern w:val="2"/>
          <w:sz w:val="24"/>
          <w:szCs w:val="24"/>
        </w:rPr>
        <w:t>持有</w:t>
      </w:r>
      <w:r>
        <w:rPr>
          <w:rFonts w:ascii="Times New Roman" w:hAnsi="Times New Roman"/>
          <w:color w:val="000000"/>
          <w:kern w:val="2"/>
          <w:sz w:val="24"/>
          <w:szCs w:val="24"/>
        </w:rPr>
        <w:t>100%</w:t>
      </w:r>
      <w:r>
        <w:rPr>
          <w:rFonts w:ascii="Times New Roman" w:hAnsi="Times New Roman"/>
          <w:color w:val="000000"/>
          <w:kern w:val="2"/>
          <w:sz w:val="24"/>
          <w:szCs w:val="24"/>
        </w:rPr>
        <w:t>权</w:t>
      </w:r>
      <w:r>
        <w:rPr>
          <w:rFonts w:ascii="宋体" w:hAnsi="宋体" w:hint="eastAsia"/>
          <w:color w:val="000000"/>
          <w:kern w:val="2"/>
          <w:sz w:val="24"/>
          <w:szCs w:val="24"/>
        </w:rPr>
        <w:t>益的子公司厦门置业接受</w:t>
      </w:r>
      <w:r w:rsidRPr="001003CE">
        <w:rPr>
          <w:rFonts w:ascii="宋体" w:hAnsi="宋体" w:hint="eastAsia"/>
          <w:color w:val="000000"/>
          <w:kern w:val="2"/>
          <w:sz w:val="24"/>
          <w:szCs w:val="24"/>
        </w:rPr>
        <w:t>建信信托</w:t>
      </w:r>
      <w:r>
        <w:rPr>
          <w:rFonts w:ascii="宋体" w:hAnsi="宋体" w:hint="eastAsia"/>
          <w:color w:val="000000"/>
          <w:kern w:val="2"/>
          <w:sz w:val="24"/>
          <w:szCs w:val="24"/>
        </w:rPr>
        <w:t>提供不超过</w:t>
      </w:r>
      <w:r>
        <w:rPr>
          <w:rFonts w:ascii="Times New Roman" w:hAnsi="Times New Roman"/>
          <w:color w:val="000000"/>
          <w:kern w:val="2"/>
          <w:sz w:val="24"/>
          <w:szCs w:val="24"/>
        </w:rPr>
        <w:t>1.78</w:t>
      </w:r>
      <w:r>
        <w:rPr>
          <w:rFonts w:ascii="宋体" w:hAnsi="宋体" w:hint="eastAsia"/>
          <w:color w:val="000000"/>
          <w:kern w:val="2"/>
          <w:sz w:val="24"/>
          <w:szCs w:val="24"/>
        </w:rPr>
        <w:t>亿元的贷款</w:t>
      </w:r>
      <w:r>
        <w:rPr>
          <w:rFonts w:ascii="Times New Roman" w:hAnsi="Times New Roman"/>
          <w:color w:val="000000"/>
          <w:kern w:val="2"/>
          <w:sz w:val="24"/>
          <w:szCs w:val="24"/>
        </w:rPr>
        <w:t>，期限</w:t>
      </w:r>
      <w:r>
        <w:rPr>
          <w:rFonts w:ascii="Times New Roman" w:hAnsi="Times New Roman"/>
          <w:color w:val="000000"/>
          <w:kern w:val="2"/>
          <w:sz w:val="24"/>
          <w:szCs w:val="24"/>
        </w:rPr>
        <w:t>3</w:t>
      </w:r>
      <w:r>
        <w:rPr>
          <w:rFonts w:ascii="Times New Roman" w:hAnsi="Times New Roman" w:hint="eastAsia"/>
          <w:color w:val="000000"/>
          <w:kern w:val="2"/>
          <w:sz w:val="24"/>
          <w:szCs w:val="24"/>
        </w:rPr>
        <w:t>年</w:t>
      </w:r>
      <w:r>
        <w:rPr>
          <w:rFonts w:ascii="Times New Roman" w:hAnsi="Times New Roman"/>
          <w:color w:val="000000"/>
          <w:kern w:val="2"/>
          <w:sz w:val="24"/>
          <w:szCs w:val="24"/>
        </w:rPr>
        <w:t>，</w:t>
      </w:r>
      <w:r>
        <w:rPr>
          <w:rFonts w:ascii="Times New Roman" w:hAnsi="Times New Roman" w:hint="eastAsia"/>
          <w:color w:val="000000"/>
          <w:kern w:val="2"/>
          <w:sz w:val="24"/>
          <w:szCs w:val="24"/>
        </w:rPr>
        <w:t>作为担保：公司子公司</w:t>
      </w:r>
      <w:r>
        <w:rPr>
          <w:rFonts w:ascii="宋体" w:hAnsi="宋体" w:hint="eastAsia"/>
          <w:color w:val="000000"/>
          <w:kern w:val="2"/>
          <w:sz w:val="24"/>
          <w:szCs w:val="24"/>
        </w:rPr>
        <w:t>厦门置业以其持有的</w:t>
      </w:r>
      <w:r w:rsidRPr="005D4619">
        <w:rPr>
          <w:rFonts w:ascii="宋体" w:hAnsi="宋体" w:hint="eastAsia"/>
          <w:color w:val="000000"/>
          <w:kern w:val="2"/>
          <w:sz w:val="24"/>
          <w:szCs w:val="24"/>
        </w:rPr>
        <w:t>泉州鑫泉房地产</w:t>
      </w:r>
      <w:r>
        <w:rPr>
          <w:rFonts w:ascii="宋体" w:hAnsi="宋体"/>
          <w:color w:val="000000"/>
          <w:kern w:val="2"/>
          <w:sz w:val="24"/>
          <w:szCs w:val="24"/>
        </w:rPr>
        <w:t>50%</w:t>
      </w:r>
      <w:r>
        <w:rPr>
          <w:rFonts w:ascii="宋体" w:hAnsi="宋体" w:hint="eastAsia"/>
          <w:color w:val="000000"/>
          <w:kern w:val="2"/>
          <w:sz w:val="24"/>
          <w:szCs w:val="24"/>
        </w:rPr>
        <w:t>股权提供质押，公司为本次交易提供连带责任保证担保。</w:t>
      </w:r>
    </w:p>
    <w:p w:rsidR="00DD18AC" w:rsidRDefault="00817B1B">
      <w:pPr>
        <w:widowControl w:val="0"/>
        <w:spacing w:after="0" w:line="360" w:lineRule="auto"/>
        <w:ind w:firstLineChars="196" w:firstLine="470"/>
        <w:jc w:val="both"/>
        <w:rPr>
          <w:rFonts w:ascii="宋体" w:hAnsi="宋体"/>
          <w:color w:val="000000"/>
          <w:kern w:val="2"/>
          <w:sz w:val="24"/>
          <w:szCs w:val="24"/>
        </w:rPr>
      </w:pPr>
      <w:r>
        <w:rPr>
          <w:rFonts w:ascii="宋体" w:hAnsi="宋体" w:hint="eastAsia"/>
          <w:color w:val="000000"/>
          <w:kern w:val="2"/>
          <w:sz w:val="24"/>
          <w:szCs w:val="24"/>
        </w:rPr>
        <w:t>保证范围为主合同项下的主债权本金、利息(含罚息、复利)、违约金、损害赔偿金、债权人实现债权的费用等；保证合同期限为自对应主合同确定的债务到期之次日起</w:t>
      </w:r>
      <w:r>
        <w:rPr>
          <w:rFonts w:ascii="Times New Roman" w:hAnsi="Times New Roman"/>
          <w:color w:val="000000"/>
          <w:kern w:val="2"/>
          <w:sz w:val="24"/>
          <w:szCs w:val="24"/>
        </w:rPr>
        <w:t>两年</w:t>
      </w:r>
      <w:r>
        <w:rPr>
          <w:rFonts w:ascii="宋体" w:hAnsi="宋体" w:hint="eastAsia"/>
          <w:color w:val="000000"/>
          <w:kern w:val="2"/>
          <w:sz w:val="24"/>
          <w:szCs w:val="24"/>
        </w:rPr>
        <w:t>。</w:t>
      </w:r>
    </w:p>
    <w:p w:rsidR="00DD18AC" w:rsidRDefault="00817B1B">
      <w:pPr>
        <w:widowControl w:val="0"/>
        <w:spacing w:after="0" w:line="360" w:lineRule="auto"/>
        <w:ind w:firstLineChars="196" w:firstLine="470"/>
        <w:jc w:val="both"/>
        <w:rPr>
          <w:rFonts w:ascii="宋体" w:hAnsi="宋体"/>
          <w:color w:val="000000"/>
          <w:kern w:val="2"/>
          <w:sz w:val="24"/>
          <w:szCs w:val="24"/>
        </w:rPr>
      </w:pPr>
      <w:r>
        <w:rPr>
          <w:rFonts w:ascii="宋体" w:hAnsi="宋体" w:hint="eastAsia"/>
          <w:color w:val="000000"/>
          <w:kern w:val="2"/>
          <w:sz w:val="24"/>
          <w:szCs w:val="24"/>
        </w:rPr>
        <w:t>具体条款以各方签署合同为准。</w:t>
      </w:r>
    </w:p>
    <w:p w:rsidR="00DD18AC" w:rsidRDefault="00DD18AC">
      <w:pPr>
        <w:widowControl w:val="0"/>
        <w:spacing w:after="0" w:line="360" w:lineRule="auto"/>
        <w:ind w:firstLineChars="196" w:firstLine="470"/>
        <w:jc w:val="both"/>
        <w:rPr>
          <w:rFonts w:ascii="宋体" w:hAnsi="宋体"/>
          <w:color w:val="000000"/>
          <w:kern w:val="2"/>
          <w:sz w:val="24"/>
          <w:szCs w:val="24"/>
        </w:rPr>
      </w:pPr>
    </w:p>
    <w:p w:rsidR="00DD18AC" w:rsidRDefault="00817B1B">
      <w:pPr>
        <w:widowControl w:val="0"/>
        <w:spacing w:after="0" w:line="360" w:lineRule="auto"/>
        <w:ind w:firstLineChars="196" w:firstLine="472"/>
        <w:jc w:val="both"/>
        <w:rPr>
          <w:rFonts w:ascii="宋体" w:hAnsi="宋体"/>
          <w:b/>
          <w:color w:val="000000"/>
          <w:kern w:val="2"/>
          <w:sz w:val="24"/>
          <w:szCs w:val="24"/>
        </w:rPr>
      </w:pPr>
      <w:r>
        <w:rPr>
          <w:rFonts w:ascii="宋体" w:hAnsi="宋体" w:hint="eastAsia"/>
          <w:b/>
          <w:color w:val="000000"/>
          <w:kern w:val="2"/>
          <w:sz w:val="24"/>
          <w:szCs w:val="24"/>
        </w:rPr>
        <w:lastRenderedPageBreak/>
        <w:t>四、董事会意见</w:t>
      </w:r>
    </w:p>
    <w:p w:rsidR="00DD18AC" w:rsidRPr="005D4619" w:rsidRDefault="00D07F30" w:rsidP="001003CE">
      <w:pPr>
        <w:widowControl w:val="0"/>
        <w:spacing w:after="0" w:line="360" w:lineRule="auto"/>
        <w:ind w:firstLineChars="196" w:firstLine="470"/>
        <w:jc w:val="both"/>
        <w:rPr>
          <w:rFonts w:ascii="宋体" w:hAnsi="宋体"/>
          <w:sz w:val="24"/>
        </w:rPr>
      </w:pPr>
      <w:r w:rsidRPr="005D4619">
        <w:rPr>
          <w:rFonts w:ascii="宋体" w:hAnsi="宋体" w:hint="eastAsia"/>
          <w:sz w:val="24"/>
        </w:rPr>
        <w:t>董事局认为，本次担保是为了满足公司</w:t>
      </w:r>
      <w:r w:rsidRPr="005D4619">
        <w:rPr>
          <w:rFonts w:ascii="宋体" w:hAnsi="宋体"/>
          <w:sz w:val="24"/>
        </w:rPr>
        <w:t>2017年度经营融资需要，增强</w:t>
      </w:r>
      <w:r w:rsidRPr="005D4619">
        <w:rPr>
          <w:rFonts w:ascii="宋体" w:hAnsi="宋体" w:hint="eastAsia"/>
          <w:kern w:val="2"/>
          <w:sz w:val="24"/>
          <w:szCs w:val="24"/>
        </w:rPr>
        <w:t>厦门置业</w:t>
      </w:r>
      <w:r w:rsidRPr="005D4619">
        <w:rPr>
          <w:rFonts w:ascii="宋体" w:hAnsi="宋体" w:hint="eastAsia"/>
          <w:sz w:val="24"/>
        </w:rPr>
        <w:t>的资金配套能力，且</w:t>
      </w:r>
      <w:r w:rsidRPr="005D4619">
        <w:rPr>
          <w:rFonts w:ascii="宋体" w:hAnsi="宋体" w:hint="eastAsia"/>
          <w:kern w:val="2"/>
          <w:sz w:val="24"/>
          <w:szCs w:val="24"/>
        </w:rPr>
        <w:t>厦门置业</w:t>
      </w:r>
      <w:r w:rsidRPr="005D4619">
        <w:rPr>
          <w:rFonts w:ascii="宋体" w:hAnsi="宋体" w:hint="eastAsia"/>
          <w:sz w:val="24"/>
        </w:rPr>
        <w:t>系公司合并会计报告单位，公司对于下属全资子公司和控股子公司日常经营活动具有绝对控制权，财务风险处于公司的可控范围之内，</w:t>
      </w:r>
      <w:r w:rsidRPr="005D4619">
        <w:rPr>
          <w:rFonts w:ascii="宋体" w:hAnsi="宋体" w:hint="eastAsia"/>
          <w:kern w:val="2"/>
          <w:sz w:val="24"/>
          <w:szCs w:val="24"/>
        </w:rPr>
        <w:t>厦门置业</w:t>
      </w:r>
      <w:r w:rsidRPr="005D4619">
        <w:rPr>
          <w:rFonts w:ascii="宋体" w:hAnsi="宋体" w:hint="eastAsia"/>
          <w:sz w:val="24"/>
        </w:rPr>
        <w:t>具备良好的偿债能力，担保风险较小。本次公司对</w:t>
      </w:r>
      <w:r w:rsidRPr="005D4619">
        <w:rPr>
          <w:rFonts w:ascii="宋体" w:hAnsi="宋体" w:hint="eastAsia"/>
          <w:kern w:val="2"/>
          <w:sz w:val="24"/>
          <w:szCs w:val="24"/>
        </w:rPr>
        <w:t>厦门置业</w:t>
      </w:r>
      <w:r w:rsidRPr="005D4619">
        <w:rPr>
          <w:rFonts w:ascii="宋体" w:hAnsi="宋体" w:hint="eastAsia"/>
          <w:sz w:val="24"/>
        </w:rPr>
        <w:t>的担保，不会对公司及子公司生产经营产生不利影响，不会影响公司持续经营能力，不会损害公司及中小股东利益。</w:t>
      </w:r>
    </w:p>
    <w:p w:rsidR="00D07F30" w:rsidRPr="00D07F30" w:rsidRDefault="00D07F30">
      <w:pPr>
        <w:widowControl w:val="0"/>
        <w:spacing w:after="0" w:line="360" w:lineRule="auto"/>
        <w:ind w:firstLineChars="196" w:firstLine="470"/>
        <w:jc w:val="both"/>
        <w:rPr>
          <w:rFonts w:ascii="宋体" w:hAnsi="宋体"/>
          <w:color w:val="000000"/>
          <w:kern w:val="2"/>
          <w:sz w:val="24"/>
          <w:szCs w:val="24"/>
        </w:rPr>
      </w:pPr>
    </w:p>
    <w:p w:rsidR="00DD18AC" w:rsidRDefault="00817B1B">
      <w:pPr>
        <w:widowControl w:val="0"/>
        <w:spacing w:after="0" w:line="360" w:lineRule="auto"/>
        <w:ind w:firstLineChars="196" w:firstLine="472"/>
        <w:jc w:val="both"/>
        <w:rPr>
          <w:rFonts w:ascii="宋体" w:hAnsi="宋体"/>
          <w:b/>
          <w:color w:val="000000"/>
          <w:kern w:val="2"/>
          <w:sz w:val="24"/>
          <w:szCs w:val="24"/>
        </w:rPr>
      </w:pPr>
      <w:r>
        <w:rPr>
          <w:rFonts w:ascii="宋体" w:hAnsi="宋体" w:hint="eastAsia"/>
          <w:b/>
          <w:color w:val="000000"/>
          <w:kern w:val="2"/>
          <w:sz w:val="24"/>
          <w:szCs w:val="24"/>
        </w:rPr>
        <w:t>五、累计对外担保金额及逾期担保的金额</w:t>
      </w:r>
    </w:p>
    <w:p w:rsidR="00DD18AC" w:rsidRDefault="00817B1B">
      <w:pPr>
        <w:widowControl w:val="0"/>
        <w:spacing w:after="0" w:line="360" w:lineRule="auto"/>
        <w:ind w:firstLineChars="196" w:firstLine="470"/>
        <w:jc w:val="both"/>
        <w:rPr>
          <w:rFonts w:asciiTheme="minorEastAsia" w:eastAsiaTheme="minorEastAsia" w:hAnsiTheme="minorEastAsia" w:cs="宋体"/>
          <w:color w:val="000000"/>
          <w:sz w:val="24"/>
        </w:rPr>
      </w:pPr>
      <w:r>
        <w:rPr>
          <w:rFonts w:ascii="宋体" w:hAnsi="宋体" w:cs="宋体" w:hint="eastAsia"/>
          <w:color w:val="000000"/>
          <w:sz w:val="24"/>
        </w:rPr>
        <w:t>截至本公告出具日，公司累计对外担保额度</w:t>
      </w:r>
      <w:r w:rsidR="00E61799">
        <w:rPr>
          <w:rFonts w:ascii="宋体" w:hAnsi="宋体" w:cs="宋体" w:hint="eastAsia"/>
          <w:color w:val="000000"/>
          <w:sz w:val="24"/>
        </w:rPr>
        <w:t>1319.83</w:t>
      </w:r>
      <w:r>
        <w:rPr>
          <w:rFonts w:ascii="宋体" w:hAnsi="宋体" w:hint="eastAsia"/>
          <w:color w:val="000000"/>
          <w:sz w:val="24"/>
        </w:rPr>
        <w:t>亿元，除为公司为全资及控股子公司提供的担保额度外，公司对外担保金额</w:t>
      </w:r>
      <w:r w:rsidR="00E61799">
        <w:rPr>
          <w:rFonts w:ascii="宋体" w:hAnsi="宋体" w:hint="eastAsia"/>
          <w:color w:val="000000"/>
          <w:sz w:val="24"/>
        </w:rPr>
        <w:t>52.4</w:t>
      </w:r>
      <w:r w:rsidR="00E61799" w:rsidRPr="009076FA">
        <w:rPr>
          <w:rFonts w:ascii="宋体" w:hAnsi="宋体" w:hint="eastAsia"/>
          <w:color w:val="000000"/>
          <w:sz w:val="24"/>
        </w:rPr>
        <w:t>8</w:t>
      </w:r>
      <w:r>
        <w:rPr>
          <w:rFonts w:ascii="宋体" w:hAnsi="宋体" w:hint="eastAsia"/>
          <w:color w:val="000000"/>
          <w:sz w:val="24"/>
        </w:rPr>
        <w:t>亿</w:t>
      </w:r>
      <w:r>
        <w:rPr>
          <w:rFonts w:ascii="宋体" w:hAnsi="宋体" w:cs="宋体" w:hint="eastAsia"/>
          <w:color w:val="000000"/>
          <w:sz w:val="24"/>
        </w:rPr>
        <w:t>元，公司及控股子公司不存在逾期担保、涉及诉讼担保的情况。</w:t>
      </w:r>
    </w:p>
    <w:p w:rsidR="00DD18AC" w:rsidRDefault="00DD18AC">
      <w:pPr>
        <w:widowControl w:val="0"/>
        <w:spacing w:after="0" w:line="360" w:lineRule="auto"/>
        <w:ind w:firstLineChars="196" w:firstLine="470"/>
        <w:jc w:val="both"/>
        <w:rPr>
          <w:rFonts w:ascii="Times New Roman" w:hAnsi="Times New Roman"/>
          <w:color w:val="000000"/>
          <w:kern w:val="2"/>
          <w:sz w:val="24"/>
          <w:szCs w:val="24"/>
        </w:rPr>
      </w:pPr>
    </w:p>
    <w:p w:rsidR="00DD18AC" w:rsidRDefault="00817B1B">
      <w:pPr>
        <w:widowControl w:val="0"/>
        <w:spacing w:after="0" w:line="360" w:lineRule="auto"/>
        <w:ind w:firstLineChars="196" w:firstLine="472"/>
        <w:jc w:val="both"/>
        <w:rPr>
          <w:rFonts w:ascii="宋体" w:hAnsi="宋体" w:cs="宋体"/>
          <w:b/>
          <w:color w:val="000000"/>
          <w:sz w:val="24"/>
        </w:rPr>
      </w:pPr>
      <w:r>
        <w:rPr>
          <w:rFonts w:ascii="宋体" w:hAnsi="宋体" w:cs="宋体" w:hint="eastAsia"/>
          <w:b/>
          <w:color w:val="000000"/>
          <w:sz w:val="24"/>
        </w:rPr>
        <w:t>六、备查文件</w:t>
      </w:r>
    </w:p>
    <w:p w:rsidR="00DD18AC" w:rsidRDefault="00817B1B">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 xml:space="preserve">（一）公司第九届董事局第二次会议决议； </w:t>
      </w:r>
    </w:p>
    <w:p w:rsidR="00DD18AC" w:rsidRDefault="00817B1B">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（二）公司2016年年度股东大会决议；</w:t>
      </w:r>
    </w:p>
    <w:p w:rsidR="00DD18AC" w:rsidRDefault="00817B1B">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（三）公司本次交易的相关协议草案。</w:t>
      </w:r>
    </w:p>
    <w:p w:rsidR="00DD18AC" w:rsidRDefault="00DD18AC">
      <w:pPr>
        <w:widowControl w:val="0"/>
        <w:spacing w:after="0" w:line="360" w:lineRule="auto"/>
        <w:ind w:firstLineChars="200" w:firstLine="480"/>
        <w:jc w:val="both"/>
        <w:rPr>
          <w:rFonts w:ascii="宋体" w:hAnsi="宋体"/>
          <w:color w:val="000000"/>
          <w:kern w:val="2"/>
          <w:sz w:val="24"/>
          <w:szCs w:val="24"/>
          <w:highlight w:val="yellow"/>
        </w:rPr>
      </w:pPr>
    </w:p>
    <w:p w:rsidR="00DD18AC" w:rsidRDefault="00817B1B">
      <w:pPr>
        <w:widowControl w:val="0"/>
        <w:spacing w:after="0" w:line="360" w:lineRule="auto"/>
        <w:ind w:firstLineChars="200" w:firstLine="480"/>
        <w:jc w:val="both"/>
        <w:rPr>
          <w:rFonts w:ascii="宋体" w:hAnsi="宋体"/>
          <w:color w:val="000000"/>
          <w:kern w:val="2"/>
          <w:sz w:val="24"/>
          <w:szCs w:val="24"/>
        </w:rPr>
      </w:pPr>
      <w:r>
        <w:rPr>
          <w:rFonts w:ascii="宋体" w:hAnsi="宋体" w:hint="eastAsia"/>
          <w:color w:val="000000"/>
          <w:kern w:val="2"/>
          <w:sz w:val="24"/>
          <w:szCs w:val="24"/>
        </w:rPr>
        <w:t>特此公告。</w:t>
      </w:r>
    </w:p>
    <w:p w:rsidR="00DD18AC" w:rsidRDefault="00DD18AC">
      <w:pPr>
        <w:widowControl w:val="0"/>
        <w:spacing w:after="0" w:line="360" w:lineRule="auto"/>
        <w:ind w:firstLineChars="196" w:firstLine="470"/>
        <w:jc w:val="both"/>
        <w:rPr>
          <w:rFonts w:ascii="宋体" w:hAnsi="宋体"/>
          <w:color w:val="000000"/>
          <w:kern w:val="2"/>
          <w:sz w:val="24"/>
          <w:szCs w:val="24"/>
          <w:highlight w:val="yellow"/>
        </w:rPr>
      </w:pPr>
    </w:p>
    <w:p w:rsidR="00DD18AC" w:rsidRDefault="00DD18AC">
      <w:pPr>
        <w:widowControl w:val="0"/>
        <w:spacing w:after="0" w:line="360" w:lineRule="auto"/>
        <w:ind w:firstLineChars="200" w:firstLine="480"/>
        <w:jc w:val="both"/>
        <w:rPr>
          <w:rFonts w:ascii="楷体_GB2312" w:eastAsia="楷体_GB2312" w:hAnsi="宋体"/>
          <w:color w:val="000000"/>
          <w:sz w:val="24"/>
          <w:szCs w:val="24"/>
          <w:highlight w:val="yellow"/>
        </w:rPr>
      </w:pPr>
    </w:p>
    <w:p w:rsidR="00DD18AC" w:rsidRDefault="00DD18AC">
      <w:pPr>
        <w:widowControl w:val="0"/>
        <w:spacing w:after="0" w:line="360" w:lineRule="auto"/>
        <w:ind w:firstLineChars="200" w:firstLine="480"/>
        <w:jc w:val="both"/>
        <w:rPr>
          <w:rFonts w:ascii="楷体_GB2312" w:eastAsia="楷体_GB2312" w:hAnsi="宋体"/>
          <w:color w:val="000000"/>
          <w:sz w:val="24"/>
          <w:szCs w:val="24"/>
          <w:highlight w:val="yellow"/>
        </w:rPr>
      </w:pPr>
    </w:p>
    <w:p w:rsidR="00DD18AC" w:rsidRDefault="00817B1B">
      <w:pPr>
        <w:spacing w:after="0" w:line="360" w:lineRule="auto"/>
        <w:ind w:firstLineChars="200" w:firstLine="482"/>
        <w:jc w:val="right"/>
        <w:rPr>
          <w:rFonts w:ascii="宋体" w:hAnsi="宋体" w:cs="宋体"/>
          <w:b/>
          <w:color w:val="000000"/>
          <w:sz w:val="24"/>
          <w:szCs w:val="24"/>
        </w:rPr>
      </w:pPr>
      <w:r>
        <w:rPr>
          <w:rFonts w:ascii="宋体" w:hAnsi="宋体" w:cs="宋体" w:hint="eastAsia"/>
          <w:b/>
          <w:color w:val="000000"/>
          <w:sz w:val="24"/>
          <w:szCs w:val="24"/>
        </w:rPr>
        <w:t>阳光城集团股份有限公司</w:t>
      </w:r>
    </w:p>
    <w:p w:rsidR="00DD18AC" w:rsidRDefault="00817B1B">
      <w:pPr>
        <w:spacing w:after="0" w:line="360" w:lineRule="auto"/>
        <w:ind w:firstLineChars="2900" w:firstLine="6987"/>
        <w:rPr>
          <w:rFonts w:ascii="宋体" w:hAnsi="宋体" w:cs="宋体"/>
          <w:b/>
          <w:color w:val="000000"/>
          <w:sz w:val="24"/>
          <w:szCs w:val="24"/>
        </w:rPr>
      </w:pPr>
      <w:r>
        <w:rPr>
          <w:rFonts w:ascii="宋体" w:hAnsi="宋体" w:cs="宋体" w:hint="eastAsia"/>
          <w:b/>
          <w:color w:val="000000"/>
          <w:sz w:val="24"/>
          <w:szCs w:val="24"/>
        </w:rPr>
        <w:t>董事会</w:t>
      </w:r>
    </w:p>
    <w:p w:rsidR="00DD18AC" w:rsidRDefault="00817B1B" w:rsidP="007A33EF">
      <w:pPr>
        <w:widowControl w:val="0"/>
        <w:spacing w:after="0" w:line="360" w:lineRule="auto"/>
        <w:jc w:val="right"/>
        <w:rPr>
          <w:rFonts w:ascii="Times New Roman" w:hAnsi="Times New Roman"/>
          <w:b/>
          <w:color w:val="000000"/>
          <w:kern w:val="2"/>
          <w:sz w:val="24"/>
          <w:szCs w:val="24"/>
        </w:rPr>
      </w:pPr>
      <w:r>
        <w:rPr>
          <w:rFonts w:ascii="宋体" w:hAnsi="宋体" w:hint="eastAsia"/>
          <w:b/>
          <w:color w:val="000000"/>
          <w:kern w:val="2"/>
          <w:sz w:val="24"/>
          <w:szCs w:val="24"/>
        </w:rPr>
        <w:t>二○一七年十一月</w:t>
      </w:r>
      <w:r w:rsidR="005D4619">
        <w:rPr>
          <w:rFonts w:ascii="宋体" w:hAnsi="宋体" w:hint="eastAsia"/>
          <w:b/>
          <w:color w:val="000000"/>
          <w:kern w:val="2"/>
          <w:sz w:val="24"/>
          <w:szCs w:val="24"/>
        </w:rPr>
        <w:t>二十</w:t>
      </w:r>
      <w:r w:rsidR="00187B60">
        <w:rPr>
          <w:rFonts w:ascii="宋体" w:hAnsi="宋体" w:hint="eastAsia"/>
          <w:b/>
          <w:color w:val="000000"/>
          <w:kern w:val="2"/>
          <w:sz w:val="24"/>
          <w:szCs w:val="24"/>
        </w:rPr>
        <w:t>一</w:t>
      </w:r>
      <w:r w:rsidRPr="0062553E">
        <w:rPr>
          <w:rFonts w:ascii="宋体" w:hAnsi="宋体" w:hint="eastAsia"/>
          <w:b/>
          <w:color w:val="000000"/>
          <w:kern w:val="2"/>
          <w:sz w:val="24"/>
          <w:szCs w:val="24"/>
        </w:rPr>
        <w:t>日</w:t>
      </w:r>
    </w:p>
    <w:p w:rsidR="00DD18AC" w:rsidRDefault="00DD18AC" w:rsidP="00E61799">
      <w:pPr>
        <w:spacing w:line="360" w:lineRule="auto"/>
        <w:ind w:firstLine="435"/>
        <w:rPr>
          <w:rFonts w:ascii="宋体" w:hAnsi="宋体"/>
          <w:color w:val="000000"/>
          <w:kern w:val="2"/>
          <w:sz w:val="24"/>
          <w:szCs w:val="24"/>
        </w:rPr>
      </w:pPr>
    </w:p>
    <w:sectPr w:rsidR="00DD18AC" w:rsidSect="0048152C">
      <w:footerReference w:type="default" r:id="rId7"/>
      <w:pgSz w:w="11906" w:h="16838"/>
      <w:pgMar w:top="1361" w:right="1588" w:bottom="1361"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03A" w:rsidRDefault="0092103A">
      <w:pPr>
        <w:spacing w:after="0" w:line="240" w:lineRule="auto"/>
      </w:pPr>
      <w:r>
        <w:separator/>
      </w:r>
    </w:p>
  </w:endnote>
  <w:endnote w:type="continuationSeparator" w:id="1">
    <w:p w:rsidR="0092103A" w:rsidRDefault="0092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86968"/>
    </w:sdtPr>
    <w:sdtContent>
      <w:p w:rsidR="00DD18AC" w:rsidRDefault="00E9510E">
        <w:pPr>
          <w:pStyle w:val="a3"/>
          <w:jc w:val="center"/>
        </w:pPr>
        <w:r w:rsidRPr="00E9510E">
          <w:fldChar w:fldCharType="begin"/>
        </w:r>
        <w:r w:rsidR="00817B1B">
          <w:instrText xml:space="preserve"> PAGE   \* MERGEFORMAT </w:instrText>
        </w:r>
        <w:r w:rsidRPr="00E9510E">
          <w:fldChar w:fldCharType="separate"/>
        </w:r>
        <w:r w:rsidR="00640EB6" w:rsidRPr="00640EB6">
          <w:rPr>
            <w:noProof/>
            <w:lang w:val="zh-CN"/>
          </w:rPr>
          <w:t>2</w:t>
        </w:r>
        <w:r>
          <w:rPr>
            <w:lang w:val="zh-CN"/>
          </w:rPr>
          <w:fldChar w:fldCharType="end"/>
        </w:r>
      </w:p>
    </w:sdtContent>
  </w:sdt>
  <w:p w:rsidR="00DD18AC" w:rsidRDefault="00DD18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03A" w:rsidRDefault="0092103A">
      <w:pPr>
        <w:spacing w:after="0" w:line="240" w:lineRule="auto"/>
      </w:pPr>
      <w:r>
        <w:separator/>
      </w:r>
    </w:p>
  </w:footnote>
  <w:footnote w:type="continuationSeparator" w:id="1">
    <w:p w:rsidR="0092103A" w:rsidRDefault="009210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BA4"/>
    <w:rsid w:val="000025D5"/>
    <w:rsid w:val="00076C20"/>
    <w:rsid w:val="000B3188"/>
    <w:rsid w:val="000B71AB"/>
    <w:rsid w:val="000E2B7C"/>
    <w:rsid w:val="000F2C8F"/>
    <w:rsid w:val="001003CE"/>
    <w:rsid w:val="00105B82"/>
    <w:rsid w:val="00114AC9"/>
    <w:rsid w:val="00151EEF"/>
    <w:rsid w:val="00166E0D"/>
    <w:rsid w:val="00172C9C"/>
    <w:rsid w:val="00187B60"/>
    <w:rsid w:val="001A114C"/>
    <w:rsid w:val="001E166F"/>
    <w:rsid w:val="001E702C"/>
    <w:rsid w:val="002146BA"/>
    <w:rsid w:val="00217FE5"/>
    <w:rsid w:val="00224C44"/>
    <w:rsid w:val="00281BE9"/>
    <w:rsid w:val="002B7156"/>
    <w:rsid w:val="00332C57"/>
    <w:rsid w:val="0033572E"/>
    <w:rsid w:val="0033583D"/>
    <w:rsid w:val="00350F72"/>
    <w:rsid w:val="0035311C"/>
    <w:rsid w:val="00363795"/>
    <w:rsid w:val="0036458A"/>
    <w:rsid w:val="00365BA4"/>
    <w:rsid w:val="00366272"/>
    <w:rsid w:val="00370A38"/>
    <w:rsid w:val="0038278A"/>
    <w:rsid w:val="00394302"/>
    <w:rsid w:val="003C111B"/>
    <w:rsid w:val="003E51DC"/>
    <w:rsid w:val="003E703C"/>
    <w:rsid w:val="003F5540"/>
    <w:rsid w:val="00432BB6"/>
    <w:rsid w:val="0048152C"/>
    <w:rsid w:val="00491BCB"/>
    <w:rsid w:val="004A387C"/>
    <w:rsid w:val="004B0ED1"/>
    <w:rsid w:val="004B1C58"/>
    <w:rsid w:val="004B34E3"/>
    <w:rsid w:val="004E1445"/>
    <w:rsid w:val="0053079E"/>
    <w:rsid w:val="00543DE2"/>
    <w:rsid w:val="00566299"/>
    <w:rsid w:val="00572E2E"/>
    <w:rsid w:val="005D4619"/>
    <w:rsid w:val="0061116F"/>
    <w:rsid w:val="006127AB"/>
    <w:rsid w:val="0062553E"/>
    <w:rsid w:val="00627BAA"/>
    <w:rsid w:val="00640855"/>
    <w:rsid w:val="00640EB6"/>
    <w:rsid w:val="00681686"/>
    <w:rsid w:val="006A21E7"/>
    <w:rsid w:val="006B2ECC"/>
    <w:rsid w:val="006C4100"/>
    <w:rsid w:val="00704985"/>
    <w:rsid w:val="00721198"/>
    <w:rsid w:val="007245A7"/>
    <w:rsid w:val="00742B00"/>
    <w:rsid w:val="00747403"/>
    <w:rsid w:val="00755A8A"/>
    <w:rsid w:val="007650D2"/>
    <w:rsid w:val="00784558"/>
    <w:rsid w:val="00786533"/>
    <w:rsid w:val="00787D0F"/>
    <w:rsid w:val="00791294"/>
    <w:rsid w:val="00795254"/>
    <w:rsid w:val="007A18E5"/>
    <w:rsid w:val="007A249D"/>
    <w:rsid w:val="007A33EF"/>
    <w:rsid w:val="007A5103"/>
    <w:rsid w:val="007B14A0"/>
    <w:rsid w:val="007C0BD9"/>
    <w:rsid w:val="0080351C"/>
    <w:rsid w:val="00817B1B"/>
    <w:rsid w:val="0084054C"/>
    <w:rsid w:val="0084606C"/>
    <w:rsid w:val="00856E39"/>
    <w:rsid w:val="00865CC7"/>
    <w:rsid w:val="00887AD6"/>
    <w:rsid w:val="008A1431"/>
    <w:rsid w:val="008A1CFD"/>
    <w:rsid w:val="008A5C60"/>
    <w:rsid w:val="008B069D"/>
    <w:rsid w:val="008B0A28"/>
    <w:rsid w:val="008D29FF"/>
    <w:rsid w:val="008E3428"/>
    <w:rsid w:val="00913504"/>
    <w:rsid w:val="0092103A"/>
    <w:rsid w:val="009634FF"/>
    <w:rsid w:val="009665AF"/>
    <w:rsid w:val="009734CF"/>
    <w:rsid w:val="009A609A"/>
    <w:rsid w:val="009B1573"/>
    <w:rsid w:val="009C3FB0"/>
    <w:rsid w:val="00A17224"/>
    <w:rsid w:val="00A4598B"/>
    <w:rsid w:val="00A652E4"/>
    <w:rsid w:val="00A76073"/>
    <w:rsid w:val="00A817AE"/>
    <w:rsid w:val="00A82E95"/>
    <w:rsid w:val="00A9110A"/>
    <w:rsid w:val="00AB17BC"/>
    <w:rsid w:val="00AE5355"/>
    <w:rsid w:val="00AF06DE"/>
    <w:rsid w:val="00B04513"/>
    <w:rsid w:val="00B14DCE"/>
    <w:rsid w:val="00B32107"/>
    <w:rsid w:val="00B3688F"/>
    <w:rsid w:val="00B57FCB"/>
    <w:rsid w:val="00B7249D"/>
    <w:rsid w:val="00B96505"/>
    <w:rsid w:val="00BA2E2B"/>
    <w:rsid w:val="00BB4299"/>
    <w:rsid w:val="00BD0B58"/>
    <w:rsid w:val="00C06EA6"/>
    <w:rsid w:val="00C2616B"/>
    <w:rsid w:val="00C44938"/>
    <w:rsid w:val="00C57337"/>
    <w:rsid w:val="00CD577F"/>
    <w:rsid w:val="00CE0E7D"/>
    <w:rsid w:val="00D00095"/>
    <w:rsid w:val="00D07F30"/>
    <w:rsid w:val="00D27F01"/>
    <w:rsid w:val="00D62496"/>
    <w:rsid w:val="00D749FD"/>
    <w:rsid w:val="00D93CF1"/>
    <w:rsid w:val="00DA3F74"/>
    <w:rsid w:val="00DD18AC"/>
    <w:rsid w:val="00E052C4"/>
    <w:rsid w:val="00E10F6C"/>
    <w:rsid w:val="00E60A47"/>
    <w:rsid w:val="00E61799"/>
    <w:rsid w:val="00E9486F"/>
    <w:rsid w:val="00E9510E"/>
    <w:rsid w:val="00EA5FC6"/>
    <w:rsid w:val="00EB391E"/>
    <w:rsid w:val="00EB4B9C"/>
    <w:rsid w:val="00EC0CAE"/>
    <w:rsid w:val="00ED51AB"/>
    <w:rsid w:val="00F90260"/>
    <w:rsid w:val="00F90D44"/>
    <w:rsid w:val="00F967B5"/>
    <w:rsid w:val="00FD6BF0"/>
    <w:rsid w:val="11D149EA"/>
    <w:rsid w:val="2BDC749C"/>
    <w:rsid w:val="7B126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2C"/>
    <w:pPr>
      <w:spacing w:after="160" w:line="259" w:lineRule="auto"/>
    </w:pPr>
    <w:rPr>
      <w:rFonts w:ascii="Calibri" w:eastAsia="宋体"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8152C"/>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rsid w:val="0048152C"/>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59"/>
    <w:rsid w:val="0048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rsid w:val="0048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48152C"/>
    <w:rPr>
      <w:rFonts w:ascii="Calibri" w:eastAsia="宋体" w:hAnsi="Calibri" w:cs="Times New Roman"/>
      <w:kern w:val="0"/>
      <w:sz w:val="18"/>
      <w:szCs w:val="18"/>
    </w:rPr>
  </w:style>
  <w:style w:type="character" w:customStyle="1" w:styleId="Char">
    <w:name w:val="页脚 Char"/>
    <w:basedOn w:val="a0"/>
    <w:link w:val="a3"/>
    <w:uiPriority w:val="99"/>
    <w:rsid w:val="0048152C"/>
    <w:rPr>
      <w:rFonts w:ascii="Calibri" w:eastAsia="宋体" w:hAnsi="Calibri" w:cs="Times New Roman"/>
      <w:kern w:val="0"/>
      <w:sz w:val="18"/>
      <w:szCs w:val="18"/>
    </w:rPr>
  </w:style>
  <w:style w:type="paragraph" w:styleId="a6">
    <w:name w:val="Balloon Text"/>
    <w:basedOn w:val="a"/>
    <w:link w:val="Char1"/>
    <w:uiPriority w:val="99"/>
    <w:semiHidden/>
    <w:unhideWhenUsed/>
    <w:rsid w:val="00566299"/>
    <w:pPr>
      <w:spacing w:after="0" w:line="240" w:lineRule="auto"/>
    </w:pPr>
    <w:rPr>
      <w:sz w:val="18"/>
      <w:szCs w:val="18"/>
    </w:rPr>
  </w:style>
  <w:style w:type="character" w:customStyle="1" w:styleId="Char1">
    <w:name w:val="批注框文本 Char"/>
    <w:basedOn w:val="a0"/>
    <w:link w:val="a6"/>
    <w:uiPriority w:val="99"/>
    <w:semiHidden/>
    <w:rsid w:val="00566299"/>
    <w:rPr>
      <w:rFonts w:ascii="Calibri" w:eastAsia="宋体" w:hAnsi="Calibri" w:cs="Times New Roman"/>
      <w:sz w:val="18"/>
      <w:szCs w:val="18"/>
    </w:rPr>
  </w:style>
  <w:style w:type="character" w:styleId="a7">
    <w:name w:val="annotation reference"/>
    <w:basedOn w:val="a0"/>
    <w:uiPriority w:val="99"/>
    <w:semiHidden/>
    <w:unhideWhenUsed/>
    <w:rsid w:val="00CE0E7D"/>
    <w:rPr>
      <w:sz w:val="21"/>
      <w:szCs w:val="21"/>
    </w:rPr>
  </w:style>
  <w:style w:type="paragraph" w:styleId="a8">
    <w:name w:val="annotation text"/>
    <w:basedOn w:val="a"/>
    <w:link w:val="Char2"/>
    <w:uiPriority w:val="99"/>
    <w:semiHidden/>
    <w:unhideWhenUsed/>
    <w:rsid w:val="00CE0E7D"/>
  </w:style>
  <w:style w:type="character" w:customStyle="1" w:styleId="Char2">
    <w:name w:val="批注文字 Char"/>
    <w:basedOn w:val="a0"/>
    <w:link w:val="a8"/>
    <w:uiPriority w:val="99"/>
    <w:semiHidden/>
    <w:rsid w:val="00CE0E7D"/>
    <w:rPr>
      <w:rFonts w:ascii="Calibri" w:eastAsia="宋体" w:hAnsi="Calibri" w:cs="Times New Roman"/>
      <w:sz w:val="22"/>
      <w:szCs w:val="22"/>
    </w:rPr>
  </w:style>
  <w:style w:type="paragraph" w:styleId="a9">
    <w:name w:val="annotation subject"/>
    <w:basedOn w:val="a8"/>
    <w:next w:val="a8"/>
    <w:link w:val="Char3"/>
    <w:uiPriority w:val="99"/>
    <w:semiHidden/>
    <w:unhideWhenUsed/>
    <w:rsid w:val="00CE0E7D"/>
    <w:rPr>
      <w:b/>
      <w:bCs/>
    </w:rPr>
  </w:style>
  <w:style w:type="character" w:customStyle="1" w:styleId="Char3">
    <w:name w:val="批注主题 Char"/>
    <w:basedOn w:val="Char2"/>
    <w:link w:val="a9"/>
    <w:uiPriority w:val="99"/>
    <w:semiHidden/>
    <w:rsid w:val="00CE0E7D"/>
    <w:rPr>
      <w:rFonts w:ascii="Calibri" w:eastAsia="宋体" w:hAnsi="Calibri" w:cs="Times New Roman"/>
      <w:b/>
      <w:bCs/>
      <w:sz w:val="22"/>
      <w:szCs w:val="22"/>
    </w:rPr>
  </w:style>
  <w:style w:type="character" w:customStyle="1" w:styleId="da">
    <w:name w:val="da"/>
    <w:basedOn w:val="a0"/>
    <w:rsid w:val="00AE535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王丹阳</dc:creator>
  <cp:lastModifiedBy>Windows User</cp:lastModifiedBy>
  <cp:revision>71</cp:revision>
  <dcterms:created xsi:type="dcterms:W3CDTF">2017-03-13T09:02:00Z</dcterms:created>
  <dcterms:modified xsi:type="dcterms:W3CDTF">2017-11-20T07:54:00Z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