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E6B" w:rsidRPr="003D5DCF" w:rsidRDefault="00B95E6B" w:rsidP="00B95E6B">
      <w:pPr>
        <w:autoSpaceDE w:val="0"/>
        <w:autoSpaceDN w:val="0"/>
        <w:adjustRightInd w:val="0"/>
        <w:spacing w:line="360" w:lineRule="auto"/>
        <w:jc w:val="center"/>
        <w:rPr>
          <w:rFonts w:ascii="楷体" w:eastAsia="楷体" w:hAnsi="楷体" w:cs="宋体"/>
          <w:color w:val="000000" w:themeColor="text1"/>
          <w:kern w:val="0"/>
          <w:sz w:val="24"/>
        </w:rPr>
      </w:pPr>
      <w:r w:rsidRPr="003D5DCF">
        <w:rPr>
          <w:rFonts w:ascii="楷体" w:eastAsia="楷体" w:hAnsi="楷体" w:cs="宋体" w:hint="eastAsia"/>
          <w:color w:val="000000" w:themeColor="text1"/>
          <w:kern w:val="0"/>
          <w:sz w:val="24"/>
        </w:rPr>
        <w:t>证券代码：000671      证券简称：阳光城      公告编号：2017-</w:t>
      </w:r>
      <w:r w:rsidR="00E40995">
        <w:rPr>
          <w:rFonts w:ascii="楷体" w:eastAsia="楷体" w:hAnsi="楷体" w:cs="宋体" w:hint="eastAsia"/>
          <w:color w:val="000000" w:themeColor="text1"/>
          <w:kern w:val="0"/>
          <w:sz w:val="24"/>
        </w:rPr>
        <w:t>325</w:t>
      </w:r>
    </w:p>
    <w:p w:rsidR="00B95E6B" w:rsidRPr="007476B7" w:rsidRDefault="00B95E6B" w:rsidP="00266667">
      <w:pPr>
        <w:autoSpaceDE w:val="0"/>
        <w:autoSpaceDN w:val="0"/>
        <w:adjustRightInd w:val="0"/>
        <w:spacing w:line="320" w:lineRule="exact"/>
        <w:jc w:val="center"/>
        <w:rPr>
          <w:rFonts w:ascii="楷体" w:eastAsia="楷体" w:hAnsi="楷体" w:cs="宋体"/>
          <w:color w:val="000000"/>
          <w:kern w:val="0"/>
          <w:sz w:val="24"/>
        </w:rPr>
      </w:pPr>
    </w:p>
    <w:p w:rsidR="00B95E6B" w:rsidRPr="00BE17DE" w:rsidRDefault="00B95E6B" w:rsidP="00266667">
      <w:pPr>
        <w:spacing w:line="560" w:lineRule="exact"/>
        <w:jc w:val="center"/>
        <w:rPr>
          <w:rFonts w:ascii="黑体" w:eastAsia="黑体" w:hAnsi="宋体"/>
          <w:color w:val="000000"/>
          <w:sz w:val="32"/>
          <w:szCs w:val="32"/>
        </w:rPr>
      </w:pPr>
      <w:r w:rsidRPr="00BE17DE">
        <w:rPr>
          <w:rFonts w:ascii="黑体" w:eastAsia="黑体" w:hAnsi="宋体" w:hint="eastAsia"/>
          <w:color w:val="000000"/>
          <w:sz w:val="32"/>
          <w:szCs w:val="32"/>
        </w:rPr>
        <w:t>阳光城集团股份有限公司</w:t>
      </w:r>
    </w:p>
    <w:p w:rsidR="00B95E6B" w:rsidRDefault="00B95E6B" w:rsidP="00266667">
      <w:pPr>
        <w:spacing w:line="560" w:lineRule="exact"/>
        <w:jc w:val="center"/>
        <w:rPr>
          <w:rFonts w:ascii="黑体" w:eastAsia="黑体" w:hAnsiTheme="minorHAnsi" w:cs="黑体"/>
          <w:kern w:val="0"/>
          <w:sz w:val="30"/>
          <w:szCs w:val="30"/>
        </w:rPr>
      </w:pPr>
      <w:r w:rsidRPr="000D5B42">
        <w:rPr>
          <w:rFonts w:ascii="黑体" w:eastAsia="黑体" w:hAnsiTheme="minorHAnsi" w:cs="黑体" w:hint="eastAsia"/>
          <w:kern w:val="0"/>
          <w:sz w:val="30"/>
          <w:szCs w:val="30"/>
        </w:rPr>
        <w:t>关于子公司竞得土地项目的公告</w:t>
      </w:r>
    </w:p>
    <w:p w:rsidR="00B95E6B" w:rsidRPr="00325210" w:rsidRDefault="00B95E6B" w:rsidP="00B95E6B">
      <w:pPr>
        <w:spacing w:line="560" w:lineRule="exact"/>
        <w:jc w:val="center"/>
        <w:rPr>
          <w:rFonts w:ascii="黑体" w:eastAsia="黑体" w:hAnsi="宋体"/>
          <w:color w:val="000000"/>
          <w:sz w:val="30"/>
          <w:szCs w:val="30"/>
        </w:rPr>
      </w:pPr>
    </w:p>
    <w:p w:rsidR="00266667" w:rsidRPr="001B16AF" w:rsidRDefault="006F6B5B" w:rsidP="00266667">
      <w:pPr>
        <w:spacing w:line="360" w:lineRule="auto"/>
        <w:ind w:firstLineChars="200" w:firstLine="480"/>
        <w:rPr>
          <w:rStyle w:val="da"/>
          <w:rFonts w:ascii="楷体" w:eastAsia="楷体" w:hAnsi="楷体"/>
          <w:color w:val="000000"/>
          <w:kern w:val="0"/>
        </w:rPr>
      </w:pPr>
      <w:r>
        <w:rPr>
          <w:rStyle w:val="da"/>
          <w:rFonts w:eastAsia="楷体_GB2312"/>
          <w:kern w:val="0"/>
          <w:sz w:val="24"/>
        </w:rPr>
        <w:t>本公司及董事会全体成员保证信息披露的内容真实、准确、完整，没有虚假记载、误导性陈述或者重大遗漏。</w:t>
      </w:r>
    </w:p>
    <w:p w:rsidR="00B95E6B" w:rsidRPr="00266667" w:rsidRDefault="00B95E6B" w:rsidP="00266667">
      <w:pPr>
        <w:spacing w:line="360" w:lineRule="auto"/>
        <w:ind w:firstLineChars="200" w:firstLine="480"/>
        <w:rPr>
          <w:rStyle w:val="da"/>
          <w:rFonts w:ascii="楷体" w:eastAsia="楷体" w:hAnsi="楷体"/>
          <w:color w:val="000000"/>
          <w:kern w:val="0"/>
          <w:sz w:val="24"/>
        </w:rPr>
      </w:pPr>
    </w:p>
    <w:p w:rsidR="00BF6996" w:rsidRPr="000B3437" w:rsidRDefault="00BF6996" w:rsidP="00BF6996">
      <w:pPr>
        <w:pStyle w:val="HTML"/>
        <w:shd w:val="clear" w:color="auto" w:fill="FFFFFF"/>
        <w:spacing w:line="360" w:lineRule="auto"/>
        <w:ind w:firstLineChars="210" w:firstLine="504"/>
        <w:jc w:val="both"/>
        <w:rPr>
          <w:rFonts w:cs="Times New Roman"/>
        </w:rPr>
      </w:pPr>
      <w:r w:rsidRPr="00A92816">
        <w:rPr>
          <w:rFonts w:cs="Times New Roman"/>
        </w:rPr>
        <w:t>2017</w:t>
      </w:r>
      <w:r w:rsidRPr="00A92816">
        <w:rPr>
          <w:rFonts w:cs="Times New Roman" w:hint="eastAsia"/>
        </w:rPr>
        <w:t>年</w:t>
      </w:r>
      <w:r w:rsidRPr="00A92816">
        <w:rPr>
          <w:rFonts w:cs="Times New Roman"/>
        </w:rPr>
        <w:t>11</w:t>
      </w:r>
      <w:r w:rsidRPr="00A92816">
        <w:rPr>
          <w:rFonts w:cs="Times New Roman" w:hint="eastAsia"/>
        </w:rPr>
        <w:t>月</w:t>
      </w:r>
      <w:r w:rsidRPr="00A92816">
        <w:rPr>
          <w:rFonts w:cs="Times New Roman"/>
        </w:rPr>
        <w:t>20</w:t>
      </w:r>
      <w:r w:rsidRPr="00A92816">
        <w:rPr>
          <w:rFonts w:cs="Times New Roman" w:hint="eastAsia"/>
        </w:rPr>
        <w:t>日，阳光城集团股份有限公司（以下简称“公司”）合并持有</w:t>
      </w:r>
      <w:r w:rsidRPr="00A92816">
        <w:rPr>
          <w:rFonts w:cs="Times New Roman"/>
        </w:rPr>
        <w:t>100%</w:t>
      </w:r>
      <w:r w:rsidRPr="00A92816">
        <w:rPr>
          <w:rFonts w:cs="Times New Roman" w:hint="eastAsia"/>
        </w:rPr>
        <w:t>权益的子公司福州海坤房地产开发有限公司在福州市马尾区国土资源局举办的国有建设用地使用权拍卖出让活动中，以人民币</w:t>
      </w:r>
      <w:r w:rsidRPr="00A92816">
        <w:rPr>
          <w:rFonts w:cs="Times New Roman"/>
        </w:rPr>
        <w:t>41,400</w:t>
      </w:r>
      <w:r w:rsidRPr="00A92816">
        <w:rPr>
          <w:rFonts w:cs="Times New Roman" w:hint="eastAsia"/>
        </w:rPr>
        <w:t>万元最高有效报价竞得编号马宗地</w:t>
      </w:r>
      <w:r w:rsidRPr="00A92816">
        <w:rPr>
          <w:rFonts w:cs="Times New Roman"/>
        </w:rPr>
        <w:t>2017-08</w:t>
      </w:r>
      <w:r w:rsidRPr="000B3437">
        <w:rPr>
          <w:rFonts w:hint="eastAsia"/>
        </w:rPr>
        <w:t>地块</w:t>
      </w:r>
      <w:r w:rsidRPr="00A92816">
        <w:rPr>
          <w:rFonts w:cs="Times New Roman" w:hint="eastAsia"/>
        </w:rPr>
        <w:t>（以下简称“项目地块”）的国有建设用地使用权。</w:t>
      </w:r>
    </w:p>
    <w:p w:rsidR="00BF6996" w:rsidRPr="000B3437" w:rsidRDefault="00BF6996" w:rsidP="00BF6996">
      <w:pPr>
        <w:pStyle w:val="HTML"/>
        <w:shd w:val="clear" w:color="auto" w:fill="FFFFFF"/>
        <w:spacing w:line="360" w:lineRule="auto"/>
        <w:ind w:firstLineChars="210" w:firstLine="504"/>
        <w:jc w:val="both"/>
        <w:rPr>
          <w:rFonts w:cs="Times New Roman"/>
        </w:rPr>
      </w:pPr>
      <w:r w:rsidRPr="00A92816">
        <w:rPr>
          <w:rFonts w:cs="Times New Roman" w:hint="eastAsia"/>
        </w:rPr>
        <w:t>现将上述项目地块的详细情况公告如下：</w:t>
      </w:r>
    </w:p>
    <w:tbl>
      <w:tblPr>
        <w:tblStyle w:val="a3"/>
        <w:tblW w:w="9085" w:type="dxa"/>
        <w:jc w:val="center"/>
        <w:tblCellMar>
          <w:left w:w="45" w:type="dxa"/>
          <w:right w:w="45" w:type="dxa"/>
        </w:tblCellMar>
        <w:tblLook w:val="04A0"/>
      </w:tblPr>
      <w:tblGrid>
        <w:gridCol w:w="900"/>
        <w:gridCol w:w="1413"/>
        <w:gridCol w:w="1149"/>
        <w:gridCol w:w="1439"/>
        <w:gridCol w:w="709"/>
        <w:gridCol w:w="708"/>
        <w:gridCol w:w="819"/>
        <w:gridCol w:w="1948"/>
      </w:tblGrid>
      <w:tr w:rsidR="00BF6996" w:rsidRPr="00A94E7C" w:rsidTr="002A3355">
        <w:trPr>
          <w:jc w:val="center"/>
        </w:trPr>
        <w:tc>
          <w:tcPr>
            <w:tcW w:w="900" w:type="dxa"/>
            <w:vMerge w:val="restart"/>
            <w:tcBorders>
              <w:top w:val="single" w:sz="4" w:space="0" w:color="auto"/>
              <w:left w:val="single" w:sz="4" w:space="0" w:color="auto"/>
              <w:right w:val="single" w:sz="4" w:space="0" w:color="auto"/>
            </w:tcBorders>
            <w:vAlign w:val="center"/>
            <w:hideMark/>
          </w:tcPr>
          <w:p w:rsidR="00BF6996" w:rsidRPr="00A94E7C" w:rsidRDefault="00BF6996" w:rsidP="002A3355">
            <w:pPr>
              <w:jc w:val="center"/>
              <w:rPr>
                <w:b/>
                <w:szCs w:val="21"/>
              </w:rPr>
            </w:pPr>
            <w:r w:rsidRPr="00A94E7C">
              <w:rPr>
                <w:rFonts w:hint="eastAsia"/>
                <w:b/>
                <w:szCs w:val="21"/>
              </w:rPr>
              <w:t>编号</w:t>
            </w:r>
          </w:p>
        </w:tc>
        <w:tc>
          <w:tcPr>
            <w:tcW w:w="1413" w:type="dxa"/>
            <w:vMerge w:val="restart"/>
            <w:tcBorders>
              <w:top w:val="single" w:sz="4" w:space="0" w:color="auto"/>
              <w:left w:val="single" w:sz="4" w:space="0" w:color="auto"/>
              <w:right w:val="single" w:sz="4" w:space="0" w:color="auto"/>
            </w:tcBorders>
            <w:vAlign w:val="center"/>
            <w:hideMark/>
          </w:tcPr>
          <w:p w:rsidR="00BF6996" w:rsidRPr="00A94E7C" w:rsidRDefault="00BF6996" w:rsidP="002A3355">
            <w:pPr>
              <w:jc w:val="center"/>
              <w:rPr>
                <w:b/>
                <w:szCs w:val="21"/>
              </w:rPr>
            </w:pPr>
            <w:r w:rsidRPr="00A94E7C">
              <w:rPr>
                <w:rFonts w:hint="eastAsia"/>
                <w:b/>
                <w:szCs w:val="21"/>
              </w:rPr>
              <w:t>土地位置</w:t>
            </w:r>
          </w:p>
        </w:tc>
        <w:tc>
          <w:tcPr>
            <w:tcW w:w="1149" w:type="dxa"/>
            <w:vMerge w:val="restart"/>
            <w:tcBorders>
              <w:top w:val="single" w:sz="4" w:space="0" w:color="auto"/>
              <w:left w:val="single" w:sz="4" w:space="0" w:color="auto"/>
              <w:right w:val="single" w:sz="4" w:space="0" w:color="auto"/>
            </w:tcBorders>
            <w:vAlign w:val="center"/>
            <w:hideMark/>
          </w:tcPr>
          <w:p w:rsidR="00BF6996" w:rsidRPr="00A94E7C" w:rsidRDefault="00BF6996" w:rsidP="002A3355">
            <w:pPr>
              <w:jc w:val="center"/>
              <w:rPr>
                <w:b/>
                <w:szCs w:val="21"/>
              </w:rPr>
            </w:pPr>
            <w:r w:rsidRPr="00A94E7C">
              <w:rPr>
                <w:rFonts w:hint="eastAsia"/>
                <w:b/>
                <w:szCs w:val="21"/>
              </w:rPr>
              <w:t>土地面积</w:t>
            </w:r>
          </w:p>
          <w:p w:rsidR="00BF6996" w:rsidRPr="00A94E7C" w:rsidRDefault="00BF6996" w:rsidP="002A3355">
            <w:pPr>
              <w:jc w:val="center"/>
              <w:rPr>
                <w:b/>
                <w:szCs w:val="21"/>
              </w:rPr>
            </w:pPr>
            <w:r w:rsidRPr="00A94E7C">
              <w:rPr>
                <w:rFonts w:hint="eastAsia"/>
                <w:b/>
                <w:szCs w:val="21"/>
              </w:rPr>
              <w:t>（平方米）</w:t>
            </w:r>
          </w:p>
        </w:tc>
        <w:tc>
          <w:tcPr>
            <w:tcW w:w="1439" w:type="dxa"/>
            <w:vMerge w:val="restart"/>
            <w:tcBorders>
              <w:top w:val="single" w:sz="4" w:space="0" w:color="auto"/>
              <w:left w:val="single" w:sz="4" w:space="0" w:color="auto"/>
              <w:right w:val="single" w:sz="4" w:space="0" w:color="auto"/>
            </w:tcBorders>
            <w:vAlign w:val="center"/>
            <w:hideMark/>
          </w:tcPr>
          <w:p w:rsidR="00BF6996" w:rsidRPr="00A94E7C" w:rsidRDefault="00BF6996" w:rsidP="002A3355">
            <w:pPr>
              <w:jc w:val="center"/>
              <w:rPr>
                <w:b/>
                <w:szCs w:val="21"/>
              </w:rPr>
            </w:pPr>
            <w:r w:rsidRPr="00A94E7C">
              <w:rPr>
                <w:rFonts w:hint="eastAsia"/>
                <w:b/>
                <w:szCs w:val="21"/>
              </w:rPr>
              <w:t>土地</w:t>
            </w:r>
          </w:p>
          <w:p w:rsidR="00BF6996" w:rsidRPr="00A94E7C" w:rsidRDefault="00BF6996" w:rsidP="002A3355">
            <w:pPr>
              <w:jc w:val="center"/>
              <w:rPr>
                <w:b/>
                <w:szCs w:val="21"/>
              </w:rPr>
            </w:pPr>
            <w:r w:rsidRPr="00A94E7C">
              <w:rPr>
                <w:rFonts w:hint="eastAsia"/>
                <w:b/>
                <w:szCs w:val="21"/>
              </w:rPr>
              <w:t>用途</w:t>
            </w:r>
          </w:p>
        </w:tc>
        <w:tc>
          <w:tcPr>
            <w:tcW w:w="2236" w:type="dxa"/>
            <w:gridSpan w:val="3"/>
            <w:tcBorders>
              <w:top w:val="single" w:sz="4" w:space="0" w:color="auto"/>
              <w:left w:val="single" w:sz="4" w:space="0" w:color="auto"/>
              <w:bottom w:val="single" w:sz="4" w:space="0" w:color="auto"/>
              <w:right w:val="single" w:sz="4" w:space="0" w:color="auto"/>
            </w:tcBorders>
            <w:vAlign w:val="center"/>
          </w:tcPr>
          <w:p w:rsidR="00BF6996" w:rsidRPr="00A94E7C" w:rsidRDefault="00BF6996" w:rsidP="002A3355">
            <w:pPr>
              <w:jc w:val="center"/>
              <w:rPr>
                <w:b/>
                <w:szCs w:val="21"/>
              </w:rPr>
            </w:pPr>
            <w:r w:rsidRPr="00A94E7C">
              <w:rPr>
                <w:rFonts w:hint="eastAsia"/>
                <w:b/>
                <w:szCs w:val="21"/>
              </w:rPr>
              <w:t>技术指标</w:t>
            </w:r>
          </w:p>
        </w:tc>
        <w:tc>
          <w:tcPr>
            <w:tcW w:w="1948" w:type="dxa"/>
            <w:vMerge w:val="restart"/>
            <w:tcBorders>
              <w:top w:val="single" w:sz="4" w:space="0" w:color="auto"/>
              <w:left w:val="single" w:sz="4" w:space="0" w:color="auto"/>
              <w:right w:val="single" w:sz="4" w:space="0" w:color="auto"/>
            </w:tcBorders>
            <w:vAlign w:val="center"/>
            <w:hideMark/>
          </w:tcPr>
          <w:p w:rsidR="00BF6996" w:rsidRPr="00A94E7C" w:rsidRDefault="00BF6996" w:rsidP="002A3355">
            <w:pPr>
              <w:jc w:val="center"/>
              <w:rPr>
                <w:b/>
                <w:szCs w:val="21"/>
              </w:rPr>
            </w:pPr>
            <w:r w:rsidRPr="00A94E7C">
              <w:rPr>
                <w:rFonts w:hint="eastAsia"/>
                <w:b/>
                <w:szCs w:val="21"/>
              </w:rPr>
              <w:t>出让年限</w:t>
            </w:r>
          </w:p>
        </w:tc>
      </w:tr>
      <w:tr w:rsidR="00BF6996" w:rsidRPr="00A94E7C" w:rsidTr="002A3355">
        <w:trPr>
          <w:jc w:val="center"/>
        </w:trPr>
        <w:tc>
          <w:tcPr>
            <w:tcW w:w="900" w:type="dxa"/>
            <w:vMerge/>
            <w:tcBorders>
              <w:left w:val="single" w:sz="4" w:space="0" w:color="auto"/>
              <w:bottom w:val="single" w:sz="4" w:space="0" w:color="auto"/>
              <w:right w:val="single" w:sz="4" w:space="0" w:color="auto"/>
            </w:tcBorders>
            <w:vAlign w:val="center"/>
            <w:hideMark/>
          </w:tcPr>
          <w:p w:rsidR="00BF6996" w:rsidRPr="00A94E7C" w:rsidRDefault="00BF6996" w:rsidP="002A3355">
            <w:pPr>
              <w:jc w:val="center"/>
              <w:rPr>
                <w:b/>
                <w:szCs w:val="21"/>
              </w:rPr>
            </w:pPr>
          </w:p>
        </w:tc>
        <w:tc>
          <w:tcPr>
            <w:tcW w:w="1413" w:type="dxa"/>
            <w:vMerge/>
            <w:tcBorders>
              <w:left w:val="single" w:sz="4" w:space="0" w:color="auto"/>
              <w:bottom w:val="single" w:sz="4" w:space="0" w:color="auto"/>
              <w:right w:val="single" w:sz="4" w:space="0" w:color="auto"/>
            </w:tcBorders>
            <w:vAlign w:val="center"/>
            <w:hideMark/>
          </w:tcPr>
          <w:p w:rsidR="00BF6996" w:rsidRPr="00A94E7C" w:rsidRDefault="00BF6996" w:rsidP="002A3355">
            <w:pPr>
              <w:jc w:val="center"/>
              <w:rPr>
                <w:b/>
                <w:szCs w:val="21"/>
              </w:rPr>
            </w:pPr>
          </w:p>
        </w:tc>
        <w:tc>
          <w:tcPr>
            <w:tcW w:w="1149" w:type="dxa"/>
            <w:vMerge/>
            <w:tcBorders>
              <w:left w:val="single" w:sz="4" w:space="0" w:color="auto"/>
              <w:bottom w:val="single" w:sz="4" w:space="0" w:color="auto"/>
              <w:right w:val="single" w:sz="4" w:space="0" w:color="auto"/>
            </w:tcBorders>
            <w:vAlign w:val="center"/>
            <w:hideMark/>
          </w:tcPr>
          <w:p w:rsidR="00BF6996" w:rsidRPr="00A94E7C" w:rsidRDefault="00BF6996" w:rsidP="002A3355">
            <w:pPr>
              <w:jc w:val="center"/>
              <w:rPr>
                <w:b/>
                <w:szCs w:val="21"/>
              </w:rPr>
            </w:pPr>
          </w:p>
        </w:tc>
        <w:tc>
          <w:tcPr>
            <w:tcW w:w="1439" w:type="dxa"/>
            <w:vMerge/>
            <w:tcBorders>
              <w:left w:val="single" w:sz="4" w:space="0" w:color="auto"/>
              <w:bottom w:val="single" w:sz="4" w:space="0" w:color="auto"/>
              <w:right w:val="single" w:sz="4" w:space="0" w:color="auto"/>
            </w:tcBorders>
            <w:vAlign w:val="center"/>
            <w:hideMark/>
          </w:tcPr>
          <w:p w:rsidR="00BF6996" w:rsidRPr="00A94E7C" w:rsidRDefault="00BF6996" w:rsidP="002A3355">
            <w:pPr>
              <w:jc w:val="center"/>
              <w:rPr>
                <w:b/>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BF6996" w:rsidRPr="00A94E7C" w:rsidRDefault="00BF6996" w:rsidP="002A3355">
            <w:pPr>
              <w:jc w:val="center"/>
              <w:rPr>
                <w:b/>
                <w:szCs w:val="21"/>
              </w:rPr>
            </w:pPr>
            <w:r w:rsidRPr="00A94E7C">
              <w:rPr>
                <w:rFonts w:hint="eastAsia"/>
                <w:b/>
                <w:szCs w:val="21"/>
              </w:rPr>
              <w:t>容积率</w:t>
            </w:r>
          </w:p>
        </w:tc>
        <w:tc>
          <w:tcPr>
            <w:tcW w:w="708" w:type="dxa"/>
            <w:tcBorders>
              <w:top w:val="single" w:sz="4" w:space="0" w:color="auto"/>
              <w:left w:val="single" w:sz="4" w:space="0" w:color="auto"/>
              <w:bottom w:val="single" w:sz="4" w:space="0" w:color="auto"/>
              <w:right w:val="single" w:sz="4" w:space="0" w:color="auto"/>
            </w:tcBorders>
            <w:vAlign w:val="center"/>
          </w:tcPr>
          <w:p w:rsidR="00BF6996" w:rsidRPr="00A94E7C" w:rsidRDefault="00BF6996" w:rsidP="002A3355">
            <w:pPr>
              <w:jc w:val="center"/>
              <w:rPr>
                <w:b/>
                <w:szCs w:val="21"/>
              </w:rPr>
            </w:pPr>
            <w:r w:rsidRPr="00A94E7C">
              <w:rPr>
                <w:rFonts w:hint="eastAsia"/>
                <w:b/>
                <w:szCs w:val="21"/>
              </w:rPr>
              <w:t>建筑</w:t>
            </w:r>
          </w:p>
          <w:p w:rsidR="00BF6996" w:rsidRPr="00A94E7C" w:rsidRDefault="00BF6996" w:rsidP="002A3355">
            <w:pPr>
              <w:jc w:val="center"/>
              <w:rPr>
                <w:b/>
                <w:szCs w:val="21"/>
              </w:rPr>
            </w:pPr>
            <w:r w:rsidRPr="00A94E7C">
              <w:rPr>
                <w:rFonts w:hint="eastAsia"/>
                <w:b/>
                <w:szCs w:val="21"/>
              </w:rPr>
              <w:t>密度</w:t>
            </w:r>
          </w:p>
        </w:tc>
        <w:tc>
          <w:tcPr>
            <w:tcW w:w="819" w:type="dxa"/>
            <w:tcBorders>
              <w:top w:val="single" w:sz="4" w:space="0" w:color="auto"/>
              <w:left w:val="single" w:sz="4" w:space="0" w:color="auto"/>
              <w:bottom w:val="single" w:sz="4" w:space="0" w:color="auto"/>
              <w:right w:val="single" w:sz="4" w:space="0" w:color="auto"/>
            </w:tcBorders>
            <w:vAlign w:val="center"/>
          </w:tcPr>
          <w:p w:rsidR="00BF6996" w:rsidRPr="00A94E7C" w:rsidRDefault="00BF6996" w:rsidP="002A3355">
            <w:pPr>
              <w:jc w:val="center"/>
              <w:rPr>
                <w:b/>
                <w:szCs w:val="21"/>
              </w:rPr>
            </w:pPr>
            <w:r w:rsidRPr="00A94E7C">
              <w:rPr>
                <w:rFonts w:hint="eastAsia"/>
                <w:b/>
                <w:szCs w:val="21"/>
              </w:rPr>
              <w:t>绿地率</w:t>
            </w:r>
          </w:p>
        </w:tc>
        <w:tc>
          <w:tcPr>
            <w:tcW w:w="1948" w:type="dxa"/>
            <w:vMerge/>
            <w:tcBorders>
              <w:left w:val="single" w:sz="4" w:space="0" w:color="auto"/>
              <w:bottom w:val="single" w:sz="4" w:space="0" w:color="auto"/>
              <w:right w:val="single" w:sz="4" w:space="0" w:color="auto"/>
            </w:tcBorders>
            <w:vAlign w:val="center"/>
            <w:hideMark/>
          </w:tcPr>
          <w:p w:rsidR="00BF6996" w:rsidRPr="00A94E7C" w:rsidRDefault="00BF6996" w:rsidP="002A3355">
            <w:pPr>
              <w:jc w:val="center"/>
              <w:rPr>
                <w:b/>
                <w:szCs w:val="21"/>
              </w:rPr>
            </w:pPr>
          </w:p>
        </w:tc>
      </w:tr>
      <w:tr w:rsidR="00BF6996" w:rsidRPr="00A94E7C" w:rsidTr="002A3355">
        <w:trPr>
          <w:jc w:val="center"/>
        </w:trPr>
        <w:tc>
          <w:tcPr>
            <w:tcW w:w="900" w:type="dxa"/>
            <w:tcBorders>
              <w:top w:val="single" w:sz="4" w:space="0" w:color="auto"/>
              <w:left w:val="single" w:sz="4" w:space="0" w:color="auto"/>
              <w:right w:val="single" w:sz="4" w:space="0" w:color="auto"/>
            </w:tcBorders>
            <w:vAlign w:val="center"/>
          </w:tcPr>
          <w:p w:rsidR="00BF6996" w:rsidRPr="00A94E7C" w:rsidRDefault="00BF6996" w:rsidP="002A3355">
            <w:pPr>
              <w:jc w:val="center"/>
              <w:rPr>
                <w:szCs w:val="21"/>
              </w:rPr>
            </w:pPr>
            <w:r w:rsidRPr="00A94E7C">
              <w:rPr>
                <w:rFonts w:hint="eastAsia"/>
                <w:szCs w:val="21"/>
              </w:rPr>
              <w:t>马宗地</w:t>
            </w:r>
            <w:r w:rsidRPr="00A94E7C">
              <w:rPr>
                <w:rFonts w:hint="eastAsia"/>
                <w:szCs w:val="21"/>
              </w:rPr>
              <w:t>2017-</w:t>
            </w:r>
            <w:r w:rsidRPr="00A94E7C">
              <w:rPr>
                <w:szCs w:val="21"/>
              </w:rPr>
              <w:t>08</w:t>
            </w:r>
          </w:p>
        </w:tc>
        <w:tc>
          <w:tcPr>
            <w:tcW w:w="1413" w:type="dxa"/>
            <w:tcBorders>
              <w:top w:val="single" w:sz="4" w:space="0" w:color="auto"/>
              <w:left w:val="single" w:sz="4" w:space="0" w:color="auto"/>
              <w:right w:val="single" w:sz="4" w:space="0" w:color="auto"/>
            </w:tcBorders>
            <w:vAlign w:val="center"/>
          </w:tcPr>
          <w:p w:rsidR="00BF6996" w:rsidRDefault="00BF6996" w:rsidP="002A3355">
            <w:pPr>
              <w:pStyle w:val="HTML"/>
              <w:shd w:val="clear" w:color="auto" w:fill="FFFFFF"/>
              <w:rPr>
                <w:rFonts w:ascii="Times New Roman" w:hAnsi="Times New Roman" w:cs="Times New Roman"/>
                <w:sz w:val="21"/>
                <w:szCs w:val="21"/>
              </w:rPr>
            </w:pPr>
            <w:r>
              <w:rPr>
                <w:rFonts w:hint="eastAsia"/>
                <w:sz w:val="21"/>
                <w:szCs w:val="21"/>
              </w:rPr>
              <w:t>马尾区</w:t>
            </w:r>
            <w:r w:rsidRPr="00A94E7C">
              <w:rPr>
                <w:sz w:val="21"/>
                <w:szCs w:val="21"/>
              </w:rPr>
              <w:t>东南至济安路</w:t>
            </w:r>
          </w:p>
        </w:tc>
        <w:tc>
          <w:tcPr>
            <w:tcW w:w="1149" w:type="dxa"/>
            <w:tcBorders>
              <w:top w:val="single" w:sz="4" w:space="0" w:color="auto"/>
              <w:left w:val="single" w:sz="4" w:space="0" w:color="auto"/>
              <w:bottom w:val="single" w:sz="4" w:space="0" w:color="auto"/>
              <w:right w:val="single" w:sz="4" w:space="0" w:color="auto"/>
            </w:tcBorders>
            <w:vAlign w:val="center"/>
          </w:tcPr>
          <w:p w:rsidR="00BF6996" w:rsidRPr="00A94E7C" w:rsidRDefault="00BF6996" w:rsidP="002A3355">
            <w:pPr>
              <w:jc w:val="center"/>
              <w:rPr>
                <w:szCs w:val="21"/>
              </w:rPr>
            </w:pPr>
            <w:r w:rsidRPr="00A94E7C">
              <w:rPr>
                <w:szCs w:val="21"/>
              </w:rPr>
              <w:t>18,808.99</w:t>
            </w:r>
          </w:p>
        </w:tc>
        <w:tc>
          <w:tcPr>
            <w:tcW w:w="1439" w:type="dxa"/>
            <w:tcBorders>
              <w:top w:val="single" w:sz="4" w:space="0" w:color="auto"/>
              <w:left w:val="single" w:sz="4" w:space="0" w:color="auto"/>
              <w:bottom w:val="single" w:sz="4" w:space="0" w:color="auto"/>
              <w:right w:val="single" w:sz="4" w:space="0" w:color="auto"/>
            </w:tcBorders>
            <w:vAlign w:val="center"/>
          </w:tcPr>
          <w:p w:rsidR="00BF6996" w:rsidRDefault="00BF6996" w:rsidP="002A3355">
            <w:pPr>
              <w:pStyle w:val="HTML"/>
              <w:shd w:val="clear" w:color="auto" w:fill="FFFFFF"/>
              <w:rPr>
                <w:rFonts w:ascii="Times New Roman" w:hAnsi="Times New Roman" w:cs="Times New Roman"/>
                <w:color w:val="000000"/>
                <w:kern w:val="2"/>
                <w:sz w:val="21"/>
                <w:szCs w:val="21"/>
              </w:rPr>
            </w:pPr>
            <w:r w:rsidRPr="00A94E7C">
              <w:rPr>
                <w:rFonts w:hint="eastAsia"/>
                <w:sz w:val="21"/>
                <w:szCs w:val="21"/>
              </w:rPr>
              <w:t>住宅用地、商业用地、服务设施用地</w:t>
            </w:r>
          </w:p>
        </w:tc>
        <w:tc>
          <w:tcPr>
            <w:tcW w:w="709" w:type="dxa"/>
            <w:tcBorders>
              <w:top w:val="single" w:sz="4" w:space="0" w:color="auto"/>
              <w:left w:val="single" w:sz="4" w:space="0" w:color="auto"/>
              <w:bottom w:val="single" w:sz="4" w:space="0" w:color="auto"/>
              <w:right w:val="single" w:sz="4" w:space="0" w:color="auto"/>
            </w:tcBorders>
            <w:vAlign w:val="center"/>
          </w:tcPr>
          <w:p w:rsidR="00BF6996" w:rsidRPr="00A653E9" w:rsidRDefault="00BF6996" w:rsidP="002A3355">
            <w:pPr>
              <w:jc w:val="center"/>
              <w:rPr>
                <w:szCs w:val="21"/>
              </w:rPr>
            </w:pPr>
            <w:r w:rsidRPr="00A92816">
              <w:rPr>
                <w:rFonts w:hint="eastAsia"/>
                <w:szCs w:val="21"/>
              </w:rPr>
              <w:t>＞</w:t>
            </w:r>
            <w:r w:rsidRPr="00A92816">
              <w:rPr>
                <w:szCs w:val="21"/>
              </w:rPr>
              <w:t>1</w:t>
            </w:r>
            <w:r w:rsidRPr="00A92816">
              <w:rPr>
                <w:rFonts w:hint="eastAsia"/>
                <w:szCs w:val="21"/>
              </w:rPr>
              <w:t>且</w:t>
            </w:r>
            <w:r w:rsidRPr="00A92816">
              <w:rPr>
                <w:rFonts w:ascii="宋体" w:hAnsi="宋体" w:hint="eastAsia"/>
                <w:szCs w:val="21"/>
              </w:rPr>
              <w:t>≤</w:t>
            </w:r>
            <w:r w:rsidRPr="00A92816">
              <w:rPr>
                <w:szCs w:val="21"/>
              </w:rPr>
              <w:t>2.6</w:t>
            </w:r>
          </w:p>
        </w:tc>
        <w:tc>
          <w:tcPr>
            <w:tcW w:w="708" w:type="dxa"/>
            <w:tcBorders>
              <w:top w:val="single" w:sz="4" w:space="0" w:color="auto"/>
              <w:left w:val="single" w:sz="4" w:space="0" w:color="auto"/>
              <w:bottom w:val="single" w:sz="4" w:space="0" w:color="auto"/>
              <w:right w:val="single" w:sz="4" w:space="0" w:color="auto"/>
            </w:tcBorders>
            <w:vAlign w:val="center"/>
          </w:tcPr>
          <w:p w:rsidR="00BF6996" w:rsidRPr="00A94E7C" w:rsidRDefault="00BF6996" w:rsidP="002A3355">
            <w:pPr>
              <w:jc w:val="center"/>
              <w:rPr>
                <w:szCs w:val="21"/>
              </w:rPr>
            </w:pPr>
            <w:r w:rsidRPr="00A94E7C">
              <w:rPr>
                <w:rFonts w:hint="eastAsia"/>
                <w:szCs w:val="21"/>
              </w:rPr>
              <w:t>≤</w:t>
            </w:r>
            <w:r w:rsidRPr="00A94E7C">
              <w:rPr>
                <w:rFonts w:hint="eastAsia"/>
                <w:szCs w:val="21"/>
              </w:rPr>
              <w:t>30%</w:t>
            </w:r>
          </w:p>
        </w:tc>
        <w:tc>
          <w:tcPr>
            <w:tcW w:w="819" w:type="dxa"/>
            <w:tcBorders>
              <w:top w:val="single" w:sz="4" w:space="0" w:color="auto"/>
              <w:left w:val="single" w:sz="4" w:space="0" w:color="auto"/>
              <w:bottom w:val="single" w:sz="4" w:space="0" w:color="auto"/>
              <w:right w:val="single" w:sz="4" w:space="0" w:color="auto"/>
            </w:tcBorders>
            <w:vAlign w:val="center"/>
          </w:tcPr>
          <w:p w:rsidR="00BF6996" w:rsidRPr="00A94E7C" w:rsidRDefault="00BF6996" w:rsidP="002A3355">
            <w:pPr>
              <w:jc w:val="center"/>
              <w:rPr>
                <w:szCs w:val="21"/>
              </w:rPr>
            </w:pPr>
            <w:r w:rsidRPr="00A94E7C">
              <w:rPr>
                <w:rFonts w:hint="eastAsia"/>
                <w:szCs w:val="21"/>
              </w:rPr>
              <w:t>≥</w:t>
            </w:r>
            <w:r w:rsidRPr="00A94E7C">
              <w:rPr>
                <w:rFonts w:ascii="����" w:hAnsi="����"/>
                <w:color w:val="000000"/>
                <w:szCs w:val="21"/>
              </w:rPr>
              <w:t>30%</w:t>
            </w:r>
          </w:p>
        </w:tc>
        <w:tc>
          <w:tcPr>
            <w:tcW w:w="1948" w:type="dxa"/>
            <w:tcBorders>
              <w:top w:val="single" w:sz="4" w:space="0" w:color="auto"/>
              <w:left w:val="single" w:sz="4" w:space="0" w:color="auto"/>
              <w:bottom w:val="single" w:sz="4" w:space="0" w:color="auto"/>
              <w:right w:val="single" w:sz="4" w:space="0" w:color="auto"/>
            </w:tcBorders>
            <w:vAlign w:val="center"/>
          </w:tcPr>
          <w:p w:rsidR="00BF6996" w:rsidRDefault="00BF6996" w:rsidP="002A3355">
            <w:pPr>
              <w:jc w:val="center"/>
              <w:rPr>
                <w:szCs w:val="21"/>
              </w:rPr>
            </w:pPr>
            <w:r w:rsidRPr="00A94E7C">
              <w:rPr>
                <w:rFonts w:hint="eastAsia"/>
                <w:szCs w:val="21"/>
              </w:rPr>
              <w:t>住宅用地</w:t>
            </w:r>
            <w:r w:rsidRPr="00A94E7C">
              <w:rPr>
                <w:rFonts w:hint="eastAsia"/>
                <w:szCs w:val="21"/>
              </w:rPr>
              <w:t>70</w:t>
            </w:r>
            <w:r w:rsidRPr="00A94E7C">
              <w:rPr>
                <w:rFonts w:hint="eastAsia"/>
                <w:szCs w:val="21"/>
              </w:rPr>
              <w:t>年</w:t>
            </w:r>
          </w:p>
          <w:p w:rsidR="00BF6996" w:rsidRDefault="00BF6996" w:rsidP="002A3355">
            <w:pPr>
              <w:jc w:val="center"/>
              <w:rPr>
                <w:szCs w:val="21"/>
              </w:rPr>
            </w:pPr>
            <w:r w:rsidRPr="00A94E7C">
              <w:rPr>
                <w:rFonts w:hint="eastAsia"/>
                <w:szCs w:val="21"/>
              </w:rPr>
              <w:t>商业用地</w:t>
            </w:r>
            <w:r w:rsidRPr="00A94E7C">
              <w:rPr>
                <w:rFonts w:hint="eastAsia"/>
                <w:szCs w:val="21"/>
              </w:rPr>
              <w:t>40</w:t>
            </w:r>
            <w:r w:rsidRPr="00A94E7C">
              <w:rPr>
                <w:rFonts w:hint="eastAsia"/>
                <w:szCs w:val="21"/>
              </w:rPr>
              <w:t>年</w:t>
            </w:r>
          </w:p>
          <w:p w:rsidR="00BF6996" w:rsidRPr="00A94E7C" w:rsidRDefault="00BF6996" w:rsidP="002A3355">
            <w:pPr>
              <w:jc w:val="center"/>
              <w:rPr>
                <w:szCs w:val="21"/>
              </w:rPr>
            </w:pPr>
            <w:r w:rsidRPr="00A94E7C">
              <w:rPr>
                <w:rFonts w:hint="eastAsia"/>
                <w:szCs w:val="21"/>
              </w:rPr>
              <w:t>服务设施用地</w:t>
            </w:r>
            <w:r w:rsidRPr="00A94E7C">
              <w:rPr>
                <w:rFonts w:hint="eastAsia"/>
                <w:szCs w:val="21"/>
              </w:rPr>
              <w:t>50</w:t>
            </w:r>
            <w:r w:rsidRPr="00A94E7C">
              <w:rPr>
                <w:rFonts w:hint="eastAsia"/>
                <w:szCs w:val="21"/>
              </w:rPr>
              <w:t>年</w:t>
            </w:r>
          </w:p>
        </w:tc>
      </w:tr>
    </w:tbl>
    <w:p w:rsidR="00BF6996" w:rsidRPr="00154D59" w:rsidRDefault="00BF6996" w:rsidP="00BF6996">
      <w:pPr>
        <w:spacing w:line="360" w:lineRule="auto"/>
        <w:ind w:firstLineChars="200" w:firstLine="480"/>
        <w:rPr>
          <w:rFonts w:ascii="宋体" w:hAnsi="宋体"/>
          <w:sz w:val="24"/>
        </w:rPr>
      </w:pPr>
      <w:r w:rsidRPr="00A92816">
        <w:rPr>
          <w:rFonts w:ascii="宋体" w:hAnsi="宋体" w:hint="eastAsia"/>
          <w:sz w:val="24"/>
        </w:rPr>
        <w:t>公司竞买上述项目地块需支付的成交价款未超过</w:t>
      </w:r>
      <w:r w:rsidRPr="00A92816">
        <w:rPr>
          <w:rFonts w:ascii="宋体" w:hAnsi="宋体"/>
          <w:sz w:val="24"/>
        </w:rPr>
        <w:t>2016</w:t>
      </w:r>
      <w:r w:rsidRPr="00A92816">
        <w:rPr>
          <w:rFonts w:ascii="宋体" w:hAnsi="宋体" w:hint="eastAsia"/>
          <w:sz w:val="24"/>
        </w:rPr>
        <w:t>年度股东大会的授权（即最近一期经审计的合并报表归属于母公司所有者权益金额的</w:t>
      </w:r>
      <w:r w:rsidRPr="00A92816">
        <w:rPr>
          <w:rFonts w:ascii="宋体" w:hAnsi="宋体"/>
          <w:sz w:val="24"/>
        </w:rPr>
        <w:t>100%</w:t>
      </w:r>
      <w:r w:rsidRPr="00A92816">
        <w:rPr>
          <w:rFonts w:ascii="宋体" w:hAnsi="宋体" w:hint="eastAsia"/>
          <w:sz w:val="24"/>
        </w:rPr>
        <w:t>），上述事项无需提交公司董事会及股东大会审议。</w:t>
      </w:r>
    </w:p>
    <w:p w:rsidR="00BF6996" w:rsidRPr="00154D59" w:rsidRDefault="00BF6996" w:rsidP="00BF6996">
      <w:pPr>
        <w:spacing w:line="360" w:lineRule="auto"/>
        <w:ind w:firstLineChars="200" w:firstLine="480"/>
        <w:rPr>
          <w:rFonts w:ascii="宋体" w:hAnsi="宋体"/>
          <w:sz w:val="24"/>
        </w:rPr>
      </w:pPr>
      <w:r w:rsidRPr="00A92816">
        <w:rPr>
          <w:rFonts w:ascii="宋体" w:hAnsi="宋体" w:hint="eastAsia"/>
          <w:sz w:val="24"/>
        </w:rPr>
        <w:t>公司将根据《成交确认书》的有关规定，签订项目地块的《国有建设用地使用权出让合同》等相关文书及合同。</w:t>
      </w:r>
    </w:p>
    <w:p w:rsidR="00BF6996" w:rsidRPr="00154D59" w:rsidRDefault="00BF6996" w:rsidP="00BF6996">
      <w:pPr>
        <w:spacing w:line="360" w:lineRule="auto"/>
        <w:ind w:firstLineChars="200" w:firstLine="480"/>
        <w:rPr>
          <w:rFonts w:ascii="宋体" w:hAnsi="宋体"/>
          <w:sz w:val="24"/>
        </w:rPr>
      </w:pPr>
      <w:r w:rsidRPr="00A92816">
        <w:rPr>
          <w:rFonts w:ascii="宋体" w:hAnsi="宋体" w:hint="eastAsia"/>
          <w:sz w:val="24"/>
        </w:rPr>
        <w:t>鉴于未来公司可能就部分房地产项目引入合作者，将影响公司在项目中所占权益比例。</w:t>
      </w:r>
    </w:p>
    <w:p w:rsidR="00BF6996" w:rsidRPr="00154D59" w:rsidRDefault="00BF6996" w:rsidP="00BF6996">
      <w:pPr>
        <w:spacing w:line="360" w:lineRule="auto"/>
        <w:ind w:firstLineChars="200" w:firstLine="480"/>
        <w:rPr>
          <w:rFonts w:ascii="宋体" w:hAnsi="宋体"/>
          <w:color w:val="000000"/>
          <w:sz w:val="24"/>
        </w:rPr>
      </w:pPr>
      <w:r w:rsidRPr="00154D59">
        <w:rPr>
          <w:rFonts w:ascii="宋体" w:hAnsi="宋体" w:hint="eastAsia"/>
          <w:color w:val="000000"/>
          <w:sz w:val="24"/>
        </w:rPr>
        <w:t>特此公告。</w:t>
      </w:r>
    </w:p>
    <w:p w:rsidR="00A94E7C" w:rsidRPr="00BF6996" w:rsidRDefault="00A94E7C" w:rsidP="009B2FAB">
      <w:pPr>
        <w:spacing w:line="360" w:lineRule="auto"/>
        <w:ind w:firstLineChars="200" w:firstLine="480"/>
        <w:rPr>
          <w:rFonts w:ascii="宋体" w:hAnsi="宋体"/>
          <w:color w:val="000000"/>
          <w:sz w:val="24"/>
        </w:rPr>
      </w:pPr>
    </w:p>
    <w:p w:rsidR="00B95E6B" w:rsidRDefault="00B95E6B" w:rsidP="00B95E6B">
      <w:pPr>
        <w:widowControl/>
        <w:spacing w:line="360" w:lineRule="auto"/>
        <w:ind w:firstLineChars="200" w:firstLine="482"/>
        <w:jc w:val="right"/>
        <w:rPr>
          <w:rFonts w:ascii="宋体" w:hAnsi="宋体" w:cs="宋体"/>
          <w:b/>
          <w:color w:val="000000"/>
          <w:kern w:val="0"/>
          <w:sz w:val="24"/>
        </w:rPr>
      </w:pPr>
      <w:r>
        <w:rPr>
          <w:rFonts w:ascii="宋体" w:hAnsi="宋体" w:cs="宋体" w:hint="eastAsia"/>
          <w:b/>
          <w:color w:val="000000"/>
          <w:kern w:val="0"/>
          <w:sz w:val="24"/>
        </w:rPr>
        <w:t>阳光城集团股份有限公司</w:t>
      </w:r>
    </w:p>
    <w:p w:rsidR="00B95E6B" w:rsidRDefault="00B95E6B" w:rsidP="00B95E6B">
      <w:pPr>
        <w:widowControl/>
        <w:spacing w:line="360" w:lineRule="auto"/>
        <w:ind w:right="480" w:firstLineChars="2950" w:firstLine="7108"/>
        <w:rPr>
          <w:rFonts w:ascii="宋体" w:hAnsi="宋体" w:cs="宋体"/>
          <w:b/>
          <w:color w:val="000000"/>
          <w:kern w:val="0"/>
          <w:sz w:val="24"/>
        </w:rPr>
      </w:pPr>
      <w:r>
        <w:rPr>
          <w:rFonts w:ascii="宋体" w:hAnsi="宋体" w:cs="宋体" w:hint="eastAsia"/>
          <w:b/>
          <w:color w:val="000000"/>
          <w:kern w:val="0"/>
          <w:sz w:val="24"/>
        </w:rPr>
        <w:t>董事会</w:t>
      </w:r>
    </w:p>
    <w:p w:rsidR="001B721B" w:rsidRPr="00B95E6B" w:rsidRDefault="00B95E6B" w:rsidP="00266667">
      <w:pPr>
        <w:widowControl/>
        <w:spacing w:line="360" w:lineRule="auto"/>
        <w:ind w:firstLineChars="200" w:firstLine="482"/>
        <w:jc w:val="right"/>
      </w:pPr>
      <w:r w:rsidRPr="003D5DCF">
        <w:rPr>
          <w:rFonts w:ascii="宋体" w:hAnsi="宋体" w:hint="eastAsia"/>
          <w:b/>
          <w:color w:val="000000"/>
          <w:sz w:val="24"/>
        </w:rPr>
        <w:t>二○一七年</w:t>
      </w:r>
      <w:r>
        <w:rPr>
          <w:rFonts w:ascii="宋体" w:hAnsi="宋体" w:hint="eastAsia"/>
          <w:b/>
          <w:color w:val="000000"/>
          <w:sz w:val="24"/>
        </w:rPr>
        <w:t>十</w:t>
      </w:r>
      <w:r w:rsidR="00017286">
        <w:rPr>
          <w:rFonts w:ascii="宋体" w:hAnsi="宋体" w:hint="eastAsia"/>
          <w:b/>
          <w:color w:val="000000"/>
          <w:sz w:val="24"/>
        </w:rPr>
        <w:t>一</w:t>
      </w:r>
      <w:r w:rsidRPr="003D5DCF">
        <w:rPr>
          <w:rFonts w:ascii="宋体" w:hAnsi="宋体" w:hint="eastAsia"/>
          <w:b/>
          <w:color w:val="000000"/>
          <w:sz w:val="24"/>
        </w:rPr>
        <w:t>月</w:t>
      </w:r>
      <w:r w:rsidR="00B629A2">
        <w:rPr>
          <w:rFonts w:ascii="宋体" w:hAnsi="宋体" w:hint="eastAsia"/>
          <w:b/>
          <w:color w:val="000000"/>
          <w:sz w:val="24"/>
        </w:rPr>
        <w:t>二十一</w:t>
      </w:r>
      <w:r w:rsidRPr="003D5DCF">
        <w:rPr>
          <w:rFonts w:ascii="宋体" w:hAnsi="宋体" w:hint="eastAsia"/>
          <w:b/>
          <w:color w:val="000000"/>
          <w:sz w:val="24"/>
        </w:rPr>
        <w:t>日</w:t>
      </w:r>
    </w:p>
    <w:sectPr w:rsidR="001B721B" w:rsidRPr="00B95E6B" w:rsidSect="00266667">
      <w:pgSz w:w="11906" w:h="16838"/>
      <w:pgMar w:top="1361" w:right="1588" w:bottom="1361"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F1B" w:rsidRDefault="00403F1B" w:rsidP="00F05609">
      <w:r>
        <w:separator/>
      </w:r>
    </w:p>
  </w:endnote>
  <w:endnote w:type="continuationSeparator" w:id="1">
    <w:p w:rsidR="00403F1B" w:rsidRDefault="00403F1B" w:rsidP="00F0560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
    <w:altName w:val="Times New Roman"/>
    <w:panose1 w:val="00000000000000000000"/>
    <w:charset w:val="00"/>
    <w:family w:val="roman"/>
    <w:notTrueType/>
    <w:pitch w:val="default"/>
    <w:sig w:usb0="00000000" w:usb1="00000000" w:usb2="00000000" w:usb3="00000000" w:csb0="0000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F1B" w:rsidRDefault="00403F1B" w:rsidP="00F05609">
      <w:r>
        <w:separator/>
      </w:r>
    </w:p>
  </w:footnote>
  <w:footnote w:type="continuationSeparator" w:id="1">
    <w:p w:rsidR="00403F1B" w:rsidRDefault="00403F1B" w:rsidP="00F056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5E6B"/>
    <w:rsid w:val="00017286"/>
    <w:rsid w:val="000811E1"/>
    <w:rsid w:val="0008709E"/>
    <w:rsid w:val="000D0D63"/>
    <w:rsid w:val="001B721B"/>
    <w:rsid w:val="001E4A0F"/>
    <w:rsid w:val="00214810"/>
    <w:rsid w:val="00243BB7"/>
    <w:rsid w:val="00266667"/>
    <w:rsid w:val="00294166"/>
    <w:rsid w:val="00311D72"/>
    <w:rsid w:val="00317FDD"/>
    <w:rsid w:val="00403F1B"/>
    <w:rsid w:val="004B3060"/>
    <w:rsid w:val="005A66C6"/>
    <w:rsid w:val="005F5EB4"/>
    <w:rsid w:val="0060738A"/>
    <w:rsid w:val="006F6B5B"/>
    <w:rsid w:val="00702EB7"/>
    <w:rsid w:val="0075219F"/>
    <w:rsid w:val="00816732"/>
    <w:rsid w:val="00883D1B"/>
    <w:rsid w:val="00982ED2"/>
    <w:rsid w:val="009B2FAB"/>
    <w:rsid w:val="00A348E0"/>
    <w:rsid w:val="00A47993"/>
    <w:rsid w:val="00A94E7C"/>
    <w:rsid w:val="00AC5F94"/>
    <w:rsid w:val="00AF3C4D"/>
    <w:rsid w:val="00AF64A2"/>
    <w:rsid w:val="00B629A2"/>
    <w:rsid w:val="00B81E8D"/>
    <w:rsid w:val="00B95E6B"/>
    <w:rsid w:val="00BF0CBB"/>
    <w:rsid w:val="00BF6996"/>
    <w:rsid w:val="00C51D54"/>
    <w:rsid w:val="00CD1634"/>
    <w:rsid w:val="00DE1200"/>
    <w:rsid w:val="00E40995"/>
    <w:rsid w:val="00E57845"/>
    <w:rsid w:val="00F05609"/>
    <w:rsid w:val="00F37DCC"/>
    <w:rsid w:val="00F45BDB"/>
    <w:rsid w:val="00F50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qFormat/>
    <w:rsid w:val="00B95E6B"/>
  </w:style>
  <w:style w:type="paragraph" w:styleId="HTML">
    <w:name w:val="HTML Preformatted"/>
    <w:basedOn w:val="a"/>
    <w:link w:val="HTMLChar"/>
    <w:uiPriority w:val="99"/>
    <w:unhideWhenUsed/>
    <w:rsid w:val="00B95E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B95E6B"/>
    <w:rPr>
      <w:rFonts w:ascii="宋体" w:eastAsia="宋体" w:hAnsi="宋体" w:cs="宋体"/>
      <w:kern w:val="0"/>
      <w:sz w:val="24"/>
      <w:szCs w:val="24"/>
    </w:rPr>
  </w:style>
  <w:style w:type="table" w:styleId="a3">
    <w:name w:val="Table Grid"/>
    <w:basedOn w:val="a1"/>
    <w:uiPriority w:val="59"/>
    <w:rsid w:val="00B95E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B95E6B"/>
    <w:rPr>
      <w:sz w:val="21"/>
      <w:szCs w:val="21"/>
    </w:rPr>
  </w:style>
  <w:style w:type="paragraph" w:styleId="a5">
    <w:name w:val="annotation text"/>
    <w:basedOn w:val="a"/>
    <w:link w:val="Char"/>
    <w:uiPriority w:val="99"/>
    <w:semiHidden/>
    <w:unhideWhenUsed/>
    <w:rsid w:val="00B95E6B"/>
    <w:pPr>
      <w:jc w:val="left"/>
    </w:pPr>
  </w:style>
  <w:style w:type="character" w:customStyle="1" w:styleId="Char">
    <w:name w:val="批注文字 Char"/>
    <w:basedOn w:val="a0"/>
    <w:link w:val="a5"/>
    <w:uiPriority w:val="99"/>
    <w:semiHidden/>
    <w:rsid w:val="00B95E6B"/>
    <w:rPr>
      <w:rFonts w:ascii="Times New Roman" w:eastAsia="宋体" w:hAnsi="Times New Roman" w:cs="Times New Roman"/>
      <w:szCs w:val="24"/>
    </w:rPr>
  </w:style>
  <w:style w:type="paragraph" w:styleId="a6">
    <w:name w:val="annotation subject"/>
    <w:basedOn w:val="a5"/>
    <w:next w:val="a5"/>
    <w:link w:val="Char0"/>
    <w:uiPriority w:val="99"/>
    <w:semiHidden/>
    <w:unhideWhenUsed/>
    <w:rsid w:val="00B95E6B"/>
    <w:rPr>
      <w:b/>
      <w:bCs/>
    </w:rPr>
  </w:style>
  <w:style w:type="character" w:customStyle="1" w:styleId="Char0">
    <w:name w:val="批注主题 Char"/>
    <w:basedOn w:val="Char"/>
    <w:link w:val="a6"/>
    <w:uiPriority w:val="99"/>
    <w:semiHidden/>
    <w:rsid w:val="00B95E6B"/>
    <w:rPr>
      <w:rFonts w:ascii="Times New Roman" w:eastAsia="宋体" w:hAnsi="Times New Roman" w:cs="Times New Roman"/>
      <w:b/>
      <w:bCs/>
      <w:szCs w:val="24"/>
    </w:rPr>
  </w:style>
  <w:style w:type="paragraph" w:styleId="a7">
    <w:name w:val="Balloon Text"/>
    <w:basedOn w:val="a"/>
    <w:link w:val="Char1"/>
    <w:uiPriority w:val="99"/>
    <w:semiHidden/>
    <w:unhideWhenUsed/>
    <w:rsid w:val="00B95E6B"/>
    <w:rPr>
      <w:sz w:val="18"/>
      <w:szCs w:val="18"/>
    </w:rPr>
  </w:style>
  <w:style w:type="character" w:customStyle="1" w:styleId="Char1">
    <w:name w:val="批注框文本 Char"/>
    <w:basedOn w:val="a0"/>
    <w:link w:val="a7"/>
    <w:uiPriority w:val="99"/>
    <w:semiHidden/>
    <w:rsid w:val="00B95E6B"/>
    <w:rPr>
      <w:rFonts w:ascii="Times New Roman" w:eastAsia="宋体" w:hAnsi="Times New Roman" w:cs="Times New Roman"/>
      <w:sz w:val="18"/>
      <w:szCs w:val="18"/>
    </w:rPr>
  </w:style>
  <w:style w:type="paragraph" w:styleId="a8">
    <w:name w:val="header"/>
    <w:basedOn w:val="a"/>
    <w:link w:val="Char2"/>
    <w:uiPriority w:val="99"/>
    <w:unhideWhenUsed/>
    <w:rsid w:val="00F0560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F05609"/>
    <w:rPr>
      <w:rFonts w:ascii="Times New Roman" w:eastAsia="宋体" w:hAnsi="Times New Roman" w:cs="Times New Roman"/>
      <w:sz w:val="18"/>
      <w:szCs w:val="18"/>
    </w:rPr>
  </w:style>
  <w:style w:type="paragraph" w:styleId="a9">
    <w:name w:val="footer"/>
    <w:basedOn w:val="a"/>
    <w:link w:val="Char3"/>
    <w:uiPriority w:val="99"/>
    <w:unhideWhenUsed/>
    <w:rsid w:val="00F05609"/>
    <w:pPr>
      <w:tabs>
        <w:tab w:val="center" w:pos="4153"/>
        <w:tab w:val="right" w:pos="8306"/>
      </w:tabs>
      <w:snapToGrid w:val="0"/>
      <w:jc w:val="left"/>
    </w:pPr>
    <w:rPr>
      <w:sz w:val="18"/>
      <w:szCs w:val="18"/>
    </w:rPr>
  </w:style>
  <w:style w:type="character" w:customStyle="1" w:styleId="Char3">
    <w:name w:val="页脚 Char"/>
    <w:basedOn w:val="a0"/>
    <w:link w:val="a9"/>
    <w:uiPriority w:val="99"/>
    <w:rsid w:val="00F056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徐皎</dc:creator>
  <cp:keywords/>
  <dc:description/>
  <cp:lastModifiedBy>Windows User</cp:lastModifiedBy>
  <cp:revision>25</cp:revision>
  <dcterms:created xsi:type="dcterms:W3CDTF">2017-10-25T09:42:00Z</dcterms:created>
  <dcterms:modified xsi:type="dcterms:W3CDTF">2017-11-20T07:41:00Z</dcterms:modified>
</cp:coreProperties>
</file>