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6" w:rsidRDefault="00750324">
      <w:pPr>
        <w:autoSpaceDE w:val="0"/>
        <w:autoSpaceDN w:val="0"/>
        <w:adjustRightInd w:val="0"/>
        <w:spacing w:line="360" w:lineRule="auto"/>
        <w:jc w:val="center"/>
        <w:rPr>
          <w:rFonts w:ascii="楷体" w:eastAsia="楷体" w:hAnsi="楷体" w:cs="宋体"/>
          <w:color w:val="000000"/>
          <w:kern w:val="0"/>
          <w:sz w:val="24"/>
        </w:rPr>
      </w:pPr>
      <w:r>
        <w:rPr>
          <w:rFonts w:ascii="楷体" w:eastAsia="楷体" w:hAnsi="楷体" w:cs="宋体" w:hint="eastAsia"/>
          <w:color w:val="000000"/>
          <w:kern w:val="0"/>
          <w:sz w:val="24"/>
        </w:rPr>
        <w:t>证券代码：000671      证券简称：阳光城</w:t>
      </w:r>
      <w:r w:rsidR="00CD2D7B">
        <w:rPr>
          <w:rFonts w:ascii="楷体" w:eastAsia="楷体" w:hAnsi="楷体" w:cs="宋体" w:hint="eastAsia"/>
          <w:color w:val="000000"/>
          <w:kern w:val="0"/>
          <w:sz w:val="24"/>
        </w:rPr>
        <w:t xml:space="preserve">      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公告编号：201</w:t>
      </w:r>
      <w:r>
        <w:rPr>
          <w:rFonts w:ascii="楷体" w:eastAsia="楷体" w:hAnsi="楷体" w:cs="宋体"/>
          <w:color w:val="000000"/>
          <w:kern w:val="0"/>
          <w:sz w:val="24"/>
        </w:rPr>
        <w:t>7</w:t>
      </w:r>
      <w:r>
        <w:rPr>
          <w:rFonts w:ascii="楷体" w:eastAsia="楷体" w:hAnsi="楷体" w:cs="宋体" w:hint="eastAsia"/>
          <w:color w:val="000000"/>
          <w:kern w:val="0"/>
          <w:sz w:val="24"/>
        </w:rPr>
        <w:t>-</w:t>
      </w:r>
      <w:r w:rsidR="002B4385">
        <w:rPr>
          <w:rFonts w:ascii="楷体" w:eastAsia="楷体" w:hAnsi="楷体" w:cs="宋体" w:hint="eastAsia"/>
          <w:color w:val="000000"/>
          <w:kern w:val="0"/>
          <w:sz w:val="24"/>
        </w:rPr>
        <w:t>332</w:t>
      </w:r>
    </w:p>
    <w:p w:rsidR="007162A6" w:rsidRDefault="007162A6">
      <w:pPr>
        <w:autoSpaceDE w:val="0"/>
        <w:autoSpaceDN w:val="0"/>
        <w:adjustRightInd w:val="0"/>
        <w:spacing w:line="400" w:lineRule="exact"/>
        <w:jc w:val="center"/>
        <w:rPr>
          <w:rFonts w:ascii="楷体_GB2312" w:eastAsia="楷体_GB2312" w:hAnsi="宋体" w:cs="宋体"/>
          <w:color w:val="000000"/>
          <w:kern w:val="0"/>
          <w:sz w:val="24"/>
        </w:rPr>
      </w:pPr>
    </w:p>
    <w:p w:rsidR="007162A6" w:rsidRDefault="00750324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阳光城集团股份有限公司</w:t>
      </w:r>
    </w:p>
    <w:p w:rsidR="00C913D4" w:rsidRDefault="00750324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关于为子公司佛山阳光智城并购贷款提供担保</w:t>
      </w:r>
    </w:p>
    <w:p w:rsidR="007162A6" w:rsidRDefault="00750324">
      <w:pPr>
        <w:spacing w:line="560" w:lineRule="exact"/>
        <w:jc w:val="center"/>
        <w:rPr>
          <w:rFonts w:ascii="黑体" w:eastAsia="黑体" w:hAnsi="宋体"/>
          <w:color w:val="000000"/>
          <w:sz w:val="32"/>
          <w:szCs w:val="32"/>
        </w:rPr>
      </w:pPr>
      <w:r>
        <w:rPr>
          <w:rFonts w:ascii="黑体" w:eastAsia="黑体" w:hAnsi="宋体" w:hint="eastAsia"/>
          <w:color w:val="000000"/>
          <w:sz w:val="32"/>
          <w:szCs w:val="32"/>
        </w:rPr>
        <w:t>变更委托方的公告</w:t>
      </w:r>
    </w:p>
    <w:p w:rsidR="007162A6" w:rsidRDefault="007162A6">
      <w:pPr>
        <w:spacing w:line="440" w:lineRule="exact"/>
        <w:jc w:val="center"/>
        <w:rPr>
          <w:rFonts w:ascii="黑体" w:eastAsia="黑体" w:hAnsi="宋体"/>
          <w:color w:val="000000"/>
          <w:sz w:val="30"/>
          <w:szCs w:val="30"/>
        </w:rPr>
      </w:pPr>
    </w:p>
    <w:p w:rsidR="007162A6" w:rsidRDefault="00750324">
      <w:pPr>
        <w:spacing w:line="360" w:lineRule="auto"/>
        <w:ind w:firstLineChars="200" w:firstLine="480"/>
        <w:rPr>
          <w:rStyle w:val="da"/>
          <w:rFonts w:ascii="楷体" w:eastAsia="楷体" w:hAnsi="楷体"/>
          <w:color w:val="000000"/>
          <w:kern w:val="0"/>
          <w:sz w:val="24"/>
        </w:rPr>
      </w:pPr>
      <w:r>
        <w:rPr>
          <w:rStyle w:val="da"/>
          <w:rFonts w:eastAsia="楷体_GB2312"/>
          <w:kern w:val="0"/>
          <w:sz w:val="24"/>
        </w:rPr>
        <w:t>本公司及董事会全体成员保证信息披露的内容真实、准确、完整，没有虚假记载、误导性陈述或者重大遗漏。</w:t>
      </w:r>
    </w:p>
    <w:p w:rsidR="007162A6" w:rsidRDefault="007162A6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/>
          <w:kern w:val="0"/>
          <w:sz w:val="24"/>
        </w:rPr>
      </w:pP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B4385">
        <w:rPr>
          <w:rFonts w:ascii="宋体" w:hAnsi="宋体" w:cs="宋体" w:hint="eastAsia"/>
          <w:b/>
          <w:color w:val="000000" w:themeColor="text1"/>
          <w:kern w:val="0"/>
          <w:sz w:val="24"/>
        </w:rPr>
        <w:t>一、担保情况</w:t>
      </w:r>
      <w:r w:rsidRPr="002B4385">
        <w:rPr>
          <w:rFonts w:ascii="宋体" w:hAnsi="宋体" w:cs="宋体"/>
          <w:b/>
          <w:color w:val="000000" w:themeColor="text1"/>
          <w:kern w:val="0"/>
          <w:sz w:val="24"/>
        </w:rPr>
        <w:t>概述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一）担保情况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阳光城集团股份有限公司（以下简称“公司”）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第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九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届董事局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第</w:t>
      </w:r>
      <w:r w:rsidRPr="002B4385">
        <w:rPr>
          <w:rFonts w:ascii="宋体" w:hAnsi="宋体" w:hint="eastAsia"/>
          <w:color w:val="000000" w:themeColor="text1"/>
          <w:sz w:val="24"/>
        </w:rPr>
        <w:t>十八次</w:t>
      </w:r>
      <w:r w:rsidRPr="002B4385">
        <w:rPr>
          <w:rFonts w:ascii="宋体" w:hAnsi="宋体"/>
          <w:color w:val="000000" w:themeColor="text1"/>
          <w:sz w:val="24"/>
        </w:rPr>
        <w:t>会议</w:t>
      </w:r>
      <w:r w:rsidRPr="002B4385">
        <w:rPr>
          <w:rFonts w:ascii="宋体" w:hAnsi="宋体" w:hint="eastAsia"/>
          <w:color w:val="000000" w:themeColor="text1"/>
          <w:sz w:val="24"/>
        </w:rPr>
        <w:t>及公司2</w:t>
      </w:r>
      <w:r w:rsidRPr="002B4385">
        <w:rPr>
          <w:rFonts w:ascii="宋体" w:hAnsi="宋体"/>
          <w:color w:val="000000" w:themeColor="text1"/>
          <w:sz w:val="24"/>
        </w:rPr>
        <w:t>017</w:t>
      </w:r>
      <w:r w:rsidRPr="002B4385">
        <w:rPr>
          <w:rFonts w:ascii="宋体" w:hAnsi="宋体" w:hint="eastAsia"/>
          <w:color w:val="000000" w:themeColor="text1"/>
          <w:sz w:val="24"/>
        </w:rPr>
        <w:t>年第</w:t>
      </w:r>
      <w:r w:rsidR="001648C6" w:rsidRPr="002B4385">
        <w:rPr>
          <w:rFonts w:ascii="宋体" w:hAnsi="宋体" w:hint="eastAsia"/>
          <w:color w:val="000000" w:themeColor="text1"/>
          <w:sz w:val="24"/>
        </w:rPr>
        <w:t>二十二</w:t>
      </w:r>
      <w:r w:rsidRPr="002B4385">
        <w:rPr>
          <w:rFonts w:ascii="宋体" w:hAnsi="宋体" w:hint="eastAsia"/>
          <w:color w:val="000000" w:themeColor="text1"/>
          <w:sz w:val="24"/>
        </w:rPr>
        <w:t>次临时股东大会审议通过了《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关于为子公司佛山阳光智城并购贷款提供担保的议案》（详见公司2017-</w:t>
      </w:r>
      <w:r w:rsidR="00FD28F2" w:rsidRPr="002B4385">
        <w:rPr>
          <w:rFonts w:ascii="宋体" w:hAnsi="宋体" w:cs="宋体" w:hint="eastAsia"/>
          <w:color w:val="000000" w:themeColor="text1"/>
          <w:kern w:val="0"/>
          <w:sz w:val="24"/>
        </w:rPr>
        <w:t>272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号公告），现将委托方</w:t>
      </w:r>
      <w:r w:rsidRPr="002B4385">
        <w:rPr>
          <w:rFonts w:ascii="宋体" w:hAnsi="宋体" w:hint="eastAsia"/>
          <w:color w:val="000000" w:themeColor="text1"/>
          <w:sz w:val="24"/>
        </w:rPr>
        <w:t>华鑫国际信托有限公司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（以下简称“</w:t>
      </w:r>
      <w:r w:rsidRPr="002B4385">
        <w:rPr>
          <w:rFonts w:ascii="宋体" w:hAnsi="宋体" w:hint="eastAsia"/>
          <w:color w:val="000000" w:themeColor="text1"/>
          <w:sz w:val="24"/>
        </w:rPr>
        <w:t>华鑫信托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”）变更为</w:t>
      </w:r>
      <w:r w:rsidRPr="002B4385">
        <w:rPr>
          <w:rFonts w:ascii="宋体" w:hAnsi="宋体" w:hint="eastAsia"/>
          <w:color w:val="000000" w:themeColor="text1"/>
          <w:sz w:val="24"/>
        </w:rPr>
        <w:t>陕西省国际信托股份有限公司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（以下简称“陕西</w:t>
      </w:r>
      <w:r w:rsidR="00144A7D" w:rsidRPr="002B4385">
        <w:rPr>
          <w:rFonts w:ascii="宋体" w:hAnsi="宋体" w:hint="eastAsia"/>
          <w:color w:val="000000" w:themeColor="text1"/>
          <w:sz w:val="24"/>
        </w:rPr>
        <w:t>国际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信托”），即公司</w:t>
      </w:r>
      <w:r w:rsidR="00144A7D" w:rsidRPr="002B4385">
        <w:rPr>
          <w:rFonts w:ascii="宋体" w:hAnsi="宋体" w:cs="宋体" w:hint="eastAsia"/>
          <w:color w:val="000000" w:themeColor="text1"/>
          <w:kern w:val="0"/>
          <w:sz w:val="24"/>
        </w:rPr>
        <w:t>合并</w:t>
      </w:r>
      <w:r w:rsidRPr="002B4385">
        <w:rPr>
          <w:rFonts w:ascii="宋体" w:hAnsi="宋体" w:hint="eastAsia"/>
          <w:color w:val="000000" w:themeColor="text1"/>
          <w:sz w:val="24"/>
        </w:rPr>
        <w:t>持有6</w:t>
      </w:r>
      <w:r w:rsidRPr="002B4385">
        <w:rPr>
          <w:rFonts w:ascii="宋体" w:hAnsi="宋体"/>
          <w:color w:val="000000" w:themeColor="text1"/>
          <w:sz w:val="24"/>
        </w:rPr>
        <w:t>0%权益的子公司</w:t>
      </w:r>
      <w:r w:rsidRPr="002B4385">
        <w:rPr>
          <w:rFonts w:ascii="宋体" w:hAnsi="宋体" w:hint="eastAsia"/>
          <w:color w:val="000000" w:themeColor="text1"/>
          <w:sz w:val="24"/>
        </w:rPr>
        <w:t>佛山阳光智城置业发展有限公司（以下简称：“佛山阳光智城”）</w:t>
      </w:r>
      <w:r w:rsidR="00D33035">
        <w:rPr>
          <w:rFonts w:ascii="宋体" w:hAnsi="宋体" w:hint="eastAsia"/>
          <w:color w:val="000000" w:themeColor="text1"/>
          <w:sz w:val="24"/>
        </w:rPr>
        <w:t>拟</w:t>
      </w:r>
      <w:r w:rsidRPr="002B4385">
        <w:rPr>
          <w:rFonts w:ascii="宋体" w:hAnsi="宋体" w:hint="eastAsia"/>
          <w:color w:val="000000" w:themeColor="text1"/>
          <w:sz w:val="24"/>
        </w:rPr>
        <w:t>受</w:t>
      </w:r>
      <w:r w:rsidR="00144A7D" w:rsidRPr="002B4385">
        <w:rPr>
          <w:rFonts w:ascii="宋体" w:hAnsi="宋体" w:cs="宋体" w:hint="eastAsia"/>
          <w:color w:val="000000" w:themeColor="text1"/>
          <w:kern w:val="0"/>
          <w:sz w:val="24"/>
        </w:rPr>
        <w:t>陕西国际信托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提供5亿元的融资，期限、担保方等其他交易要素均不变。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 w:cs="宋体"/>
          <w:color w:val="000000" w:themeColor="text1"/>
          <w:kern w:val="0"/>
          <w:sz w:val="24"/>
        </w:rPr>
      </w:pP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（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二）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担保审批情况</w:t>
      </w:r>
    </w:p>
    <w:p w:rsidR="007162A6" w:rsidRPr="002B4385" w:rsidRDefault="00750324">
      <w:pPr>
        <w:spacing w:line="360" w:lineRule="auto"/>
        <w:ind w:firstLineChars="200" w:firstLine="480"/>
        <w:rPr>
          <w:color w:val="000000" w:themeColor="text1"/>
          <w:sz w:val="24"/>
        </w:rPr>
      </w:pP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根据相关法律法规及公司章程的规定，上述担保</w:t>
      </w:r>
      <w:r w:rsidR="00144A7D" w:rsidRPr="002B4385">
        <w:rPr>
          <w:rFonts w:ascii="宋体" w:hAnsi="宋体" w:cs="宋体" w:hint="eastAsia"/>
          <w:color w:val="000000" w:themeColor="text1"/>
          <w:kern w:val="0"/>
          <w:sz w:val="24"/>
        </w:rPr>
        <w:t>变更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事项已经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公司第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九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届董事局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第二十三</w:t>
      </w:r>
      <w:r w:rsidRPr="002B4385">
        <w:rPr>
          <w:rFonts w:ascii="宋体" w:hAnsi="宋体" w:hint="eastAsia"/>
          <w:color w:val="000000" w:themeColor="text1"/>
          <w:sz w:val="24"/>
        </w:rPr>
        <w:t>次</w:t>
      </w:r>
      <w:r w:rsidRPr="002B4385">
        <w:rPr>
          <w:rFonts w:ascii="宋体" w:hAnsi="宋体"/>
          <w:color w:val="000000" w:themeColor="text1"/>
          <w:sz w:val="24"/>
        </w:rPr>
        <w:t>会议审议通过</w:t>
      </w:r>
      <w:r w:rsidRPr="002B4385">
        <w:rPr>
          <w:rFonts w:ascii="宋体" w:hAnsi="宋体" w:hint="eastAsia"/>
          <w:color w:val="000000" w:themeColor="text1"/>
          <w:sz w:val="24"/>
        </w:rPr>
        <w:t>，</w:t>
      </w:r>
      <w:r w:rsidRPr="002B4385">
        <w:rPr>
          <w:rFonts w:hint="eastAsia"/>
          <w:color w:val="000000" w:themeColor="text1"/>
          <w:sz w:val="24"/>
        </w:rPr>
        <w:t>尚需提交公司股东大会审议批准。</w:t>
      </w:r>
    </w:p>
    <w:p w:rsidR="007162A6" w:rsidRPr="002B4385" w:rsidRDefault="007162A6">
      <w:pPr>
        <w:spacing w:line="360" w:lineRule="auto"/>
        <w:rPr>
          <w:color w:val="000000" w:themeColor="text1"/>
        </w:rPr>
      </w:pP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宋体" w:hAnsi="宋体" w:cs="宋体"/>
          <w:b/>
          <w:color w:val="000000" w:themeColor="text1"/>
          <w:kern w:val="0"/>
          <w:sz w:val="24"/>
        </w:rPr>
      </w:pPr>
      <w:r w:rsidRPr="002B4385">
        <w:rPr>
          <w:rFonts w:ascii="宋体" w:hAnsi="宋体" w:cs="宋体" w:hint="eastAsia"/>
          <w:b/>
          <w:color w:val="000000" w:themeColor="text1"/>
          <w:kern w:val="0"/>
          <w:sz w:val="24"/>
        </w:rPr>
        <w:t>二、被担保人</w:t>
      </w:r>
      <w:r w:rsidRPr="002B4385">
        <w:rPr>
          <w:rFonts w:ascii="宋体" w:hAnsi="宋体" w:cs="宋体"/>
          <w:b/>
          <w:color w:val="000000" w:themeColor="text1"/>
          <w:kern w:val="0"/>
          <w:sz w:val="24"/>
        </w:rPr>
        <w:t>基本情况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（一）公司名称：佛山阳光智城置业发展有限公司；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（二）成立日期：2</w:t>
      </w:r>
      <w:r w:rsidRPr="002B4385">
        <w:rPr>
          <w:rFonts w:ascii="宋体" w:hAnsi="宋体"/>
          <w:color w:val="000000" w:themeColor="text1"/>
          <w:sz w:val="24"/>
        </w:rPr>
        <w:t>017</w:t>
      </w:r>
      <w:r w:rsidRPr="002B4385">
        <w:rPr>
          <w:rFonts w:hint="eastAsia"/>
          <w:color w:val="000000" w:themeColor="text1"/>
          <w:sz w:val="24"/>
        </w:rPr>
        <w:t>年</w:t>
      </w:r>
      <w:r w:rsidRPr="002B4385">
        <w:rPr>
          <w:color w:val="000000" w:themeColor="text1"/>
          <w:sz w:val="24"/>
        </w:rPr>
        <w:t>2</w:t>
      </w:r>
      <w:r w:rsidRPr="002B4385">
        <w:rPr>
          <w:rFonts w:hint="eastAsia"/>
          <w:color w:val="000000" w:themeColor="text1"/>
          <w:sz w:val="24"/>
        </w:rPr>
        <w:t>月</w:t>
      </w:r>
      <w:r w:rsidRPr="002B4385">
        <w:rPr>
          <w:color w:val="000000" w:themeColor="text1"/>
          <w:sz w:val="24"/>
        </w:rPr>
        <w:t>17</w:t>
      </w:r>
      <w:r w:rsidRPr="002B4385">
        <w:rPr>
          <w:rFonts w:hint="eastAsia"/>
          <w:color w:val="000000" w:themeColor="text1"/>
          <w:sz w:val="24"/>
        </w:rPr>
        <w:t>日</w:t>
      </w:r>
      <w:r w:rsidRPr="002B4385">
        <w:rPr>
          <w:color w:val="000000" w:themeColor="text1"/>
          <w:sz w:val="24"/>
        </w:rPr>
        <w:t>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/>
          <w:color w:val="000000" w:themeColor="text1"/>
          <w:sz w:val="24"/>
        </w:rPr>
        <w:t>（三）注册资本：人民币</w:t>
      </w:r>
      <w:r w:rsidRPr="002B4385">
        <w:rPr>
          <w:rFonts w:ascii="宋体" w:hAnsi="宋体" w:hint="eastAsia"/>
          <w:color w:val="000000" w:themeColor="text1"/>
          <w:sz w:val="24"/>
        </w:rPr>
        <w:t>29</w:t>
      </w:r>
      <w:r w:rsidRPr="002B4385">
        <w:rPr>
          <w:rFonts w:ascii="宋体" w:hAnsi="宋体"/>
          <w:color w:val="000000" w:themeColor="text1"/>
          <w:sz w:val="24"/>
        </w:rPr>
        <w:t>,</w:t>
      </w:r>
      <w:r w:rsidRPr="002B4385">
        <w:rPr>
          <w:rFonts w:ascii="宋体" w:hAnsi="宋体" w:hint="eastAsia"/>
          <w:color w:val="000000" w:themeColor="text1"/>
          <w:sz w:val="24"/>
        </w:rPr>
        <w:t>012.0861</w:t>
      </w:r>
      <w:r w:rsidRPr="002B4385">
        <w:rPr>
          <w:rFonts w:ascii="宋体" w:hAnsi="宋体"/>
          <w:color w:val="000000" w:themeColor="text1"/>
          <w:sz w:val="24"/>
        </w:rPr>
        <w:t>万元</w:t>
      </w:r>
      <w:r w:rsidRPr="002B4385">
        <w:rPr>
          <w:rFonts w:ascii="宋体" w:hAnsi="宋体" w:hint="eastAsia"/>
          <w:color w:val="000000" w:themeColor="text1"/>
          <w:sz w:val="24"/>
        </w:rPr>
        <w:t>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（四）注册地点：佛山市顺德区大良街道办近良社区居委会近良路11号名汇公寓801房(公司住所仅作法律文件送达地不作经营用途)</w:t>
      </w:r>
      <w:r w:rsidRPr="002B4385">
        <w:rPr>
          <w:color w:val="000000" w:themeColor="text1"/>
          <w:sz w:val="24"/>
        </w:rPr>
        <w:t>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（五）主营业务：房地产项目开发；商品房租赁服务；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lastRenderedPageBreak/>
        <w:t>（六）股东情况：公司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持有</w:t>
      </w:r>
      <w:r w:rsidRPr="002B4385">
        <w:rPr>
          <w:rFonts w:ascii="宋体" w:hAnsi="宋体" w:cs="宋体"/>
          <w:color w:val="000000" w:themeColor="text1"/>
          <w:kern w:val="0"/>
          <w:sz w:val="24"/>
        </w:rPr>
        <w:t>100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%权益的子公司佛山阳光城房地产开发有限公司</w:t>
      </w:r>
      <w:r w:rsidRPr="002B4385">
        <w:rPr>
          <w:rFonts w:ascii="宋体" w:hAnsi="宋体" w:hint="eastAsia"/>
          <w:color w:val="000000" w:themeColor="text1"/>
          <w:sz w:val="24"/>
        </w:rPr>
        <w:t>持有其</w:t>
      </w:r>
      <w:r w:rsidRPr="002B4385">
        <w:rPr>
          <w:rFonts w:ascii="宋体" w:hAnsi="宋体"/>
          <w:color w:val="000000" w:themeColor="text1"/>
          <w:sz w:val="24"/>
        </w:rPr>
        <w:t>60</w:t>
      </w:r>
      <w:r w:rsidRPr="002B4385">
        <w:rPr>
          <w:rFonts w:ascii="宋体" w:hAnsi="宋体" w:hint="eastAsia"/>
          <w:color w:val="000000" w:themeColor="text1"/>
          <w:sz w:val="24"/>
        </w:rPr>
        <w:t>%股份，珠海恒祺投资有限公司持有其</w:t>
      </w:r>
      <w:r w:rsidRPr="002B4385">
        <w:rPr>
          <w:rFonts w:ascii="宋体" w:hAnsi="宋体"/>
          <w:color w:val="000000" w:themeColor="text1"/>
          <w:sz w:val="24"/>
        </w:rPr>
        <w:t>40</w:t>
      </w:r>
      <w:r w:rsidRPr="002B4385">
        <w:rPr>
          <w:rFonts w:ascii="宋体" w:hAnsi="宋体" w:hint="eastAsia"/>
          <w:color w:val="000000" w:themeColor="text1"/>
          <w:sz w:val="24"/>
        </w:rPr>
        <w:t>%股份；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（七）最近一期财务数据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300" w:firstLine="5520"/>
        <w:jc w:val="right"/>
        <w:rPr>
          <w:color w:val="000000" w:themeColor="text1"/>
          <w:sz w:val="24"/>
        </w:rPr>
      </w:pPr>
      <w:r w:rsidRPr="002B4385">
        <w:rPr>
          <w:color w:val="000000" w:themeColor="text1"/>
          <w:sz w:val="24"/>
        </w:rPr>
        <w:t>（单位：万元）</w:t>
      </w:r>
    </w:p>
    <w:tbl>
      <w:tblPr>
        <w:tblW w:w="88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0"/>
        <w:gridCol w:w="4435"/>
      </w:tblGrid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162A6">
            <w:pPr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b/>
                <w:color w:val="000000" w:themeColor="text1"/>
                <w:szCs w:val="21"/>
              </w:rPr>
              <w:t>2017</w:t>
            </w:r>
            <w:r w:rsidRPr="002B4385">
              <w:rPr>
                <w:b/>
                <w:color w:val="000000" w:themeColor="text1"/>
                <w:szCs w:val="21"/>
              </w:rPr>
              <w:t>年</w:t>
            </w:r>
            <w:r w:rsidRPr="002B4385">
              <w:rPr>
                <w:b/>
                <w:color w:val="000000" w:themeColor="text1"/>
                <w:szCs w:val="21"/>
              </w:rPr>
              <w:t>9</w:t>
            </w:r>
            <w:r w:rsidRPr="002B4385">
              <w:rPr>
                <w:b/>
                <w:color w:val="000000" w:themeColor="text1"/>
                <w:szCs w:val="21"/>
              </w:rPr>
              <w:t>月</w:t>
            </w:r>
            <w:r w:rsidRPr="002B4385">
              <w:rPr>
                <w:b/>
                <w:color w:val="000000" w:themeColor="text1"/>
                <w:szCs w:val="21"/>
              </w:rPr>
              <w:t>3</w:t>
            </w:r>
            <w:r w:rsidRPr="002B4385">
              <w:rPr>
                <w:rFonts w:hint="eastAsia"/>
                <w:b/>
                <w:color w:val="000000" w:themeColor="text1"/>
                <w:szCs w:val="21"/>
              </w:rPr>
              <w:t>0</w:t>
            </w:r>
            <w:r w:rsidRPr="002B4385">
              <w:rPr>
                <w:b/>
                <w:color w:val="000000" w:themeColor="text1"/>
                <w:szCs w:val="21"/>
              </w:rPr>
              <w:t>日（未经审计）</w:t>
            </w:r>
          </w:p>
        </w:tc>
      </w:tr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left"/>
              <w:rPr>
                <w:color w:val="000000" w:themeColor="text1"/>
                <w:szCs w:val="21"/>
              </w:rPr>
            </w:pPr>
            <w:r w:rsidRPr="002B4385">
              <w:rPr>
                <w:color w:val="000000" w:themeColor="text1"/>
                <w:szCs w:val="21"/>
              </w:rPr>
              <w:t>资产总额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widowControl/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2B4385">
              <w:rPr>
                <w:rFonts w:ascii="宋体" w:hAnsi="宋体" w:hint="eastAsia"/>
                <w:color w:val="000000" w:themeColor="text1"/>
                <w:szCs w:val="21"/>
              </w:rPr>
              <w:t>29,022.67</w:t>
            </w:r>
          </w:p>
        </w:tc>
      </w:tr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left"/>
              <w:rPr>
                <w:color w:val="000000" w:themeColor="text1"/>
                <w:szCs w:val="21"/>
              </w:rPr>
            </w:pPr>
            <w:r w:rsidRPr="002B4385">
              <w:rPr>
                <w:color w:val="000000" w:themeColor="text1"/>
                <w:szCs w:val="21"/>
              </w:rPr>
              <w:t>负债总额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2B4385">
              <w:rPr>
                <w:rFonts w:ascii="宋体" w:hAnsi="宋体" w:hint="eastAsia"/>
                <w:color w:val="000000" w:themeColor="text1"/>
                <w:szCs w:val="21"/>
              </w:rPr>
              <w:t>60.17</w:t>
            </w:r>
          </w:p>
        </w:tc>
      </w:tr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left"/>
              <w:rPr>
                <w:color w:val="000000" w:themeColor="text1"/>
                <w:szCs w:val="21"/>
              </w:rPr>
            </w:pPr>
            <w:r w:rsidRPr="002B4385">
              <w:rPr>
                <w:color w:val="000000" w:themeColor="text1"/>
                <w:szCs w:val="21"/>
              </w:rPr>
              <w:t>净资产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2B4385">
              <w:rPr>
                <w:rFonts w:ascii="宋体" w:hAnsi="宋体" w:hint="eastAsia"/>
                <w:color w:val="000000" w:themeColor="text1"/>
                <w:szCs w:val="21"/>
              </w:rPr>
              <w:t>28,962.50</w:t>
            </w:r>
          </w:p>
        </w:tc>
      </w:tr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162A6">
            <w:pPr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b/>
                <w:color w:val="000000" w:themeColor="text1"/>
                <w:szCs w:val="21"/>
              </w:rPr>
              <w:t>2017</w:t>
            </w:r>
            <w:r w:rsidRPr="002B4385">
              <w:rPr>
                <w:b/>
                <w:color w:val="000000" w:themeColor="text1"/>
                <w:szCs w:val="21"/>
              </w:rPr>
              <w:t>年</w:t>
            </w:r>
            <w:r w:rsidRPr="002B4385">
              <w:rPr>
                <w:b/>
                <w:color w:val="000000" w:themeColor="text1"/>
                <w:szCs w:val="21"/>
              </w:rPr>
              <w:t>1-9</w:t>
            </w:r>
            <w:r w:rsidRPr="002B4385">
              <w:rPr>
                <w:b/>
                <w:color w:val="000000" w:themeColor="text1"/>
                <w:szCs w:val="21"/>
              </w:rPr>
              <w:t>月</w:t>
            </w:r>
          </w:p>
        </w:tc>
      </w:tr>
      <w:tr w:rsidR="007162A6" w:rsidRPr="002B4385">
        <w:trPr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left"/>
              <w:rPr>
                <w:color w:val="000000" w:themeColor="text1"/>
                <w:szCs w:val="21"/>
              </w:rPr>
            </w:pPr>
            <w:r w:rsidRPr="002B4385">
              <w:rPr>
                <w:color w:val="000000" w:themeColor="text1"/>
                <w:szCs w:val="21"/>
              </w:rPr>
              <w:t>营业收入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2B4385">
              <w:rPr>
                <w:rFonts w:ascii="宋体" w:hAnsi="宋体" w:hint="eastAsia"/>
                <w:color w:val="000000" w:themeColor="text1"/>
                <w:szCs w:val="21"/>
              </w:rPr>
              <w:t>0</w:t>
            </w:r>
          </w:p>
        </w:tc>
      </w:tr>
      <w:tr w:rsidR="007162A6" w:rsidRPr="002B4385">
        <w:trPr>
          <w:trHeight w:val="170"/>
          <w:jc w:val="center"/>
        </w:trPr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left"/>
              <w:rPr>
                <w:color w:val="000000" w:themeColor="text1"/>
                <w:szCs w:val="21"/>
              </w:rPr>
            </w:pPr>
            <w:r w:rsidRPr="002B4385">
              <w:rPr>
                <w:color w:val="000000" w:themeColor="text1"/>
                <w:szCs w:val="21"/>
              </w:rPr>
              <w:t>净利润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right"/>
              <w:rPr>
                <w:rFonts w:ascii="宋体" w:hAnsi="宋体"/>
                <w:color w:val="000000" w:themeColor="text1"/>
                <w:szCs w:val="21"/>
              </w:rPr>
            </w:pPr>
            <w:r w:rsidRPr="002B4385">
              <w:rPr>
                <w:rFonts w:ascii="宋体" w:hAnsi="宋体" w:hint="eastAsia"/>
                <w:color w:val="000000" w:themeColor="text1"/>
                <w:szCs w:val="21"/>
              </w:rPr>
              <w:t>-49.53</w:t>
            </w:r>
          </w:p>
        </w:tc>
      </w:tr>
    </w:tbl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20"/>
        <w:rPr>
          <w:color w:val="000000" w:themeColor="text1"/>
          <w:sz w:val="24"/>
        </w:rPr>
      </w:pPr>
      <w:r w:rsidRPr="002B4385">
        <w:rPr>
          <w:rFonts w:ascii="华文楷体" w:eastAsia="华文楷体" w:hAnsi="华文楷体" w:hint="eastAsia"/>
          <w:color w:val="000000"/>
          <w:szCs w:val="21"/>
        </w:rPr>
        <w:t>注：佛山阳光智城为2</w:t>
      </w:r>
      <w:r w:rsidRPr="002B4385">
        <w:rPr>
          <w:rFonts w:ascii="华文楷体" w:eastAsia="华文楷体" w:hAnsi="华文楷体"/>
          <w:color w:val="000000"/>
          <w:szCs w:val="21"/>
        </w:rPr>
        <w:t>017</w:t>
      </w:r>
      <w:r w:rsidRPr="002B4385">
        <w:rPr>
          <w:rFonts w:ascii="华文楷体" w:eastAsia="华文楷体" w:hAnsi="华文楷体" w:hint="eastAsia"/>
          <w:color w:val="000000"/>
          <w:szCs w:val="21"/>
        </w:rPr>
        <w:t>年</w:t>
      </w:r>
      <w:r w:rsidRPr="002B4385">
        <w:rPr>
          <w:rFonts w:ascii="华文楷体" w:eastAsia="华文楷体" w:hAnsi="华文楷体"/>
          <w:color w:val="000000"/>
          <w:szCs w:val="21"/>
        </w:rPr>
        <w:t>2</w:t>
      </w:r>
      <w:r w:rsidRPr="002B4385">
        <w:rPr>
          <w:rFonts w:ascii="华文楷体" w:eastAsia="华文楷体" w:hAnsi="华文楷体" w:hint="eastAsia"/>
          <w:color w:val="000000"/>
          <w:szCs w:val="21"/>
        </w:rPr>
        <w:t>月</w:t>
      </w:r>
      <w:r w:rsidRPr="002B4385">
        <w:rPr>
          <w:rFonts w:ascii="华文楷体" w:eastAsia="华文楷体" w:hAnsi="华文楷体"/>
          <w:color w:val="000000"/>
          <w:szCs w:val="21"/>
        </w:rPr>
        <w:t>17</w:t>
      </w:r>
      <w:r w:rsidRPr="002B4385">
        <w:rPr>
          <w:rFonts w:ascii="华文楷体" w:eastAsia="华文楷体" w:hAnsi="华文楷体" w:hint="eastAsia"/>
          <w:color w:val="000000"/>
          <w:szCs w:val="21"/>
        </w:rPr>
        <w:t>日设立的公司。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2B4385">
        <w:rPr>
          <w:rFonts w:hint="eastAsia"/>
          <w:color w:val="000000" w:themeColor="text1"/>
          <w:sz w:val="24"/>
        </w:rPr>
        <w:t>（八）最新的信用等级状况：信用状况良好。</w:t>
      </w:r>
    </w:p>
    <w:p w:rsidR="007162A6" w:rsidRPr="002B4385" w:rsidRDefault="00750324">
      <w:pPr>
        <w:autoSpaceDE w:val="0"/>
        <w:autoSpaceDN w:val="0"/>
        <w:adjustRightInd w:val="0"/>
        <w:spacing w:line="360" w:lineRule="auto"/>
        <w:ind w:firstLineChars="200" w:firstLine="480"/>
        <w:rPr>
          <w:color w:val="000000" w:themeColor="text1"/>
          <w:sz w:val="24"/>
        </w:rPr>
      </w:pPr>
      <w:r w:rsidRPr="002B4385">
        <w:rPr>
          <w:color w:val="000000" w:themeColor="text1"/>
          <w:sz w:val="24"/>
        </w:rPr>
        <w:t>（</w:t>
      </w:r>
      <w:r w:rsidRPr="002B4385">
        <w:rPr>
          <w:rFonts w:hint="eastAsia"/>
          <w:color w:val="000000" w:themeColor="text1"/>
          <w:sz w:val="24"/>
        </w:rPr>
        <w:t>九</w:t>
      </w:r>
      <w:r w:rsidRPr="002B4385">
        <w:rPr>
          <w:color w:val="000000" w:themeColor="text1"/>
          <w:sz w:val="24"/>
        </w:rPr>
        <w:t>）项目概况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4A0"/>
      </w:tblPr>
      <w:tblGrid>
        <w:gridCol w:w="963"/>
        <w:gridCol w:w="1134"/>
        <w:gridCol w:w="1701"/>
        <w:gridCol w:w="1134"/>
        <w:gridCol w:w="1159"/>
        <w:gridCol w:w="1559"/>
        <w:gridCol w:w="1303"/>
      </w:tblGrid>
      <w:tr w:rsidR="007162A6" w:rsidRPr="002B4385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土地证号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土地位置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土地总面积（平方米）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容积率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建筑密度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土地用途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b/>
                <w:color w:val="000000" w:themeColor="text1"/>
                <w:szCs w:val="21"/>
              </w:rPr>
            </w:pPr>
            <w:r w:rsidRPr="002B4385">
              <w:rPr>
                <w:rFonts w:hint="eastAsia"/>
                <w:b/>
                <w:color w:val="000000" w:themeColor="text1"/>
                <w:szCs w:val="21"/>
              </w:rPr>
              <w:t>出让年限</w:t>
            </w:r>
          </w:p>
        </w:tc>
      </w:tr>
      <w:tr w:rsidR="007162A6" w:rsidRPr="002B4385">
        <w:trPr>
          <w:trHeight w:val="197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粤（</w:t>
            </w:r>
            <w:r w:rsidRPr="002B4385">
              <w:rPr>
                <w:rFonts w:hint="eastAsia"/>
                <w:color w:val="000000" w:themeColor="text1"/>
                <w:szCs w:val="21"/>
              </w:rPr>
              <w:t>2017</w:t>
            </w:r>
            <w:r w:rsidRPr="002B4385">
              <w:rPr>
                <w:rFonts w:hint="eastAsia"/>
                <w:color w:val="000000" w:themeColor="text1"/>
                <w:szCs w:val="21"/>
              </w:rPr>
              <w:t>）顺德区不动产权第</w:t>
            </w:r>
            <w:r w:rsidRPr="002B4385">
              <w:rPr>
                <w:rFonts w:hint="eastAsia"/>
                <w:color w:val="000000" w:themeColor="text1"/>
                <w:szCs w:val="21"/>
              </w:rPr>
              <w:t>2217000077</w:t>
            </w:r>
            <w:r w:rsidRPr="002B4385">
              <w:rPr>
                <w:rFonts w:hint="eastAsia"/>
                <w:color w:val="000000" w:themeColor="text1"/>
                <w:szCs w:val="21"/>
              </w:rPr>
              <w:t>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佛山市顺德区顺德新城创智城片区横二路以北、大学路以西地块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118,149.75(</w:t>
            </w:r>
            <w:r w:rsidRPr="002B4385">
              <w:rPr>
                <w:rFonts w:hint="eastAsia"/>
                <w:color w:val="000000" w:themeColor="text1"/>
                <w:szCs w:val="21"/>
              </w:rPr>
              <w:t>其中</w:t>
            </w:r>
            <w:r w:rsidRPr="002B4385">
              <w:rPr>
                <w:rFonts w:hint="eastAsia"/>
                <w:color w:val="000000" w:themeColor="text1"/>
                <w:szCs w:val="21"/>
              </w:rPr>
              <w:t>A</w:t>
            </w:r>
            <w:r w:rsidRPr="002B4385">
              <w:rPr>
                <w:rFonts w:hint="eastAsia"/>
                <w:color w:val="000000" w:themeColor="text1"/>
                <w:szCs w:val="21"/>
              </w:rPr>
              <w:t>区面积：</w:t>
            </w:r>
            <w:r w:rsidRPr="002B4385">
              <w:rPr>
                <w:rFonts w:hint="eastAsia"/>
                <w:color w:val="000000" w:themeColor="text1"/>
                <w:szCs w:val="21"/>
              </w:rPr>
              <w:t>26542.73</w:t>
            </w:r>
            <w:r w:rsidRPr="002B4385">
              <w:rPr>
                <w:rFonts w:hint="eastAsia"/>
                <w:color w:val="000000" w:themeColor="text1"/>
                <w:szCs w:val="21"/>
              </w:rPr>
              <w:t>；</w:t>
            </w:r>
            <w:r w:rsidRPr="002B4385">
              <w:rPr>
                <w:rFonts w:hint="eastAsia"/>
                <w:color w:val="000000" w:themeColor="text1"/>
                <w:szCs w:val="21"/>
              </w:rPr>
              <w:t>B</w:t>
            </w:r>
            <w:r w:rsidRPr="002B4385">
              <w:rPr>
                <w:rFonts w:hint="eastAsia"/>
                <w:color w:val="000000" w:themeColor="text1"/>
                <w:szCs w:val="21"/>
              </w:rPr>
              <w:t>区面积：</w:t>
            </w:r>
            <w:r w:rsidRPr="002B4385">
              <w:rPr>
                <w:rFonts w:hint="eastAsia"/>
                <w:color w:val="000000" w:themeColor="text1"/>
                <w:szCs w:val="21"/>
              </w:rPr>
              <w:t>30448.09</w:t>
            </w:r>
            <w:r w:rsidRPr="002B4385">
              <w:rPr>
                <w:rFonts w:hint="eastAsia"/>
                <w:color w:val="000000" w:themeColor="text1"/>
                <w:szCs w:val="21"/>
              </w:rPr>
              <w:t>；</w:t>
            </w:r>
            <w:r w:rsidRPr="002B4385">
              <w:rPr>
                <w:rFonts w:hint="eastAsia"/>
                <w:color w:val="000000" w:themeColor="text1"/>
                <w:szCs w:val="21"/>
              </w:rPr>
              <w:t>C</w:t>
            </w:r>
            <w:r w:rsidRPr="002B4385">
              <w:rPr>
                <w:rFonts w:hint="eastAsia"/>
                <w:color w:val="000000" w:themeColor="text1"/>
                <w:szCs w:val="21"/>
              </w:rPr>
              <w:t>区面积：</w:t>
            </w:r>
            <w:r w:rsidRPr="002B4385">
              <w:rPr>
                <w:rFonts w:hint="eastAsia"/>
                <w:color w:val="000000" w:themeColor="text1"/>
                <w:szCs w:val="21"/>
              </w:rPr>
              <w:t>22095.75</w:t>
            </w:r>
            <w:r w:rsidRPr="002B4385">
              <w:rPr>
                <w:rFonts w:hint="eastAsia"/>
                <w:color w:val="000000" w:themeColor="text1"/>
                <w:szCs w:val="21"/>
              </w:rPr>
              <w:t>；</w:t>
            </w:r>
            <w:r w:rsidRPr="002B4385">
              <w:rPr>
                <w:rFonts w:hint="eastAsia"/>
                <w:color w:val="000000" w:themeColor="text1"/>
                <w:szCs w:val="21"/>
              </w:rPr>
              <w:t>D</w:t>
            </w:r>
            <w:r w:rsidRPr="002B4385">
              <w:rPr>
                <w:rFonts w:hint="eastAsia"/>
                <w:color w:val="000000" w:themeColor="text1"/>
                <w:szCs w:val="21"/>
              </w:rPr>
              <w:t>区面积：</w:t>
            </w:r>
            <w:r w:rsidRPr="002B4385">
              <w:rPr>
                <w:rFonts w:hint="eastAsia"/>
                <w:color w:val="000000" w:themeColor="text1"/>
                <w:szCs w:val="21"/>
              </w:rPr>
              <w:t>23157.87</w:t>
            </w:r>
            <w:r w:rsidRPr="002B4385">
              <w:rPr>
                <w:rFonts w:hint="eastAsia"/>
                <w:color w:val="000000" w:themeColor="text1"/>
                <w:szCs w:val="21"/>
              </w:rPr>
              <w:t>；</w:t>
            </w:r>
            <w:r w:rsidRPr="002B4385">
              <w:rPr>
                <w:rFonts w:hint="eastAsia"/>
                <w:color w:val="000000" w:themeColor="text1"/>
                <w:szCs w:val="21"/>
              </w:rPr>
              <w:t>E</w:t>
            </w:r>
            <w:r w:rsidRPr="002B4385">
              <w:rPr>
                <w:rFonts w:hint="eastAsia"/>
                <w:color w:val="000000" w:themeColor="text1"/>
                <w:szCs w:val="21"/>
              </w:rPr>
              <w:t>区面积：</w:t>
            </w:r>
            <w:r w:rsidRPr="002B4385">
              <w:rPr>
                <w:rFonts w:hint="eastAsia"/>
                <w:color w:val="000000" w:themeColor="text1"/>
                <w:szCs w:val="21"/>
              </w:rPr>
              <w:t>15905.31)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总容积率约≤</w:t>
            </w:r>
            <w:r w:rsidRPr="002B4385">
              <w:rPr>
                <w:rFonts w:hint="eastAsia"/>
                <w:color w:val="000000" w:themeColor="text1"/>
                <w:szCs w:val="21"/>
              </w:rPr>
              <w:t>3.44</w:t>
            </w:r>
            <w:r w:rsidRPr="002B4385">
              <w:rPr>
                <w:rFonts w:hint="eastAsia"/>
                <w:color w:val="000000" w:themeColor="text1"/>
                <w:szCs w:val="21"/>
              </w:rPr>
              <w:t>（其中</w:t>
            </w:r>
            <w:r w:rsidRPr="002B4385">
              <w:rPr>
                <w:rFonts w:hint="eastAsia"/>
                <w:color w:val="000000" w:themeColor="text1"/>
                <w:szCs w:val="21"/>
              </w:rPr>
              <w:t>A</w:t>
            </w:r>
            <w:r w:rsidRPr="002B4385">
              <w:rPr>
                <w:rFonts w:hint="eastAsia"/>
                <w:color w:val="000000" w:themeColor="text1"/>
                <w:szCs w:val="21"/>
              </w:rPr>
              <w:t>区容积率≤</w:t>
            </w:r>
            <w:r w:rsidRPr="002B4385">
              <w:rPr>
                <w:rFonts w:hint="eastAsia"/>
                <w:color w:val="000000" w:themeColor="text1"/>
                <w:szCs w:val="21"/>
              </w:rPr>
              <w:t>2.5</w:t>
            </w:r>
            <w:r w:rsidRPr="002B4385">
              <w:rPr>
                <w:rFonts w:hint="eastAsia"/>
                <w:color w:val="000000" w:themeColor="text1"/>
                <w:szCs w:val="21"/>
              </w:rPr>
              <w:t>，</w:t>
            </w:r>
            <w:r w:rsidRPr="002B4385">
              <w:rPr>
                <w:rFonts w:hint="eastAsia"/>
                <w:color w:val="000000" w:themeColor="text1"/>
                <w:szCs w:val="21"/>
              </w:rPr>
              <w:t>B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C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D</w:t>
            </w:r>
            <w:r w:rsidRPr="002B4385">
              <w:rPr>
                <w:rFonts w:hint="eastAsia"/>
                <w:color w:val="000000" w:themeColor="text1"/>
                <w:szCs w:val="21"/>
              </w:rPr>
              <w:t>区容积率≤</w:t>
            </w:r>
            <w:r w:rsidRPr="002B4385">
              <w:rPr>
                <w:rFonts w:hint="eastAsia"/>
                <w:color w:val="000000" w:themeColor="text1"/>
                <w:szCs w:val="21"/>
              </w:rPr>
              <w:t>4.5</w:t>
            </w:r>
            <w:r w:rsidRPr="002B438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建筑总密度≤</w:t>
            </w:r>
            <w:r w:rsidRPr="002B4385">
              <w:rPr>
                <w:rFonts w:hint="eastAsia"/>
                <w:color w:val="000000" w:themeColor="text1"/>
                <w:szCs w:val="21"/>
              </w:rPr>
              <w:t>28.04%</w:t>
            </w:r>
            <w:r w:rsidRPr="002B4385">
              <w:rPr>
                <w:rFonts w:hint="eastAsia"/>
                <w:color w:val="000000" w:themeColor="text1"/>
                <w:szCs w:val="21"/>
              </w:rPr>
              <w:t>（其中</w:t>
            </w:r>
            <w:r w:rsidRPr="002B4385">
              <w:rPr>
                <w:rFonts w:hint="eastAsia"/>
                <w:color w:val="000000" w:themeColor="text1"/>
                <w:szCs w:val="21"/>
              </w:rPr>
              <w:t>A</w:t>
            </w:r>
            <w:r w:rsidRPr="002B4385">
              <w:rPr>
                <w:rFonts w:hint="eastAsia"/>
                <w:color w:val="000000" w:themeColor="text1"/>
                <w:szCs w:val="21"/>
              </w:rPr>
              <w:t>区建筑密度≤</w:t>
            </w:r>
            <w:r w:rsidRPr="002B4385">
              <w:rPr>
                <w:rFonts w:hint="eastAsia"/>
                <w:color w:val="000000" w:themeColor="text1"/>
                <w:szCs w:val="21"/>
              </w:rPr>
              <w:t>25%</w:t>
            </w:r>
            <w:r w:rsidRPr="002B4385">
              <w:rPr>
                <w:rFonts w:hint="eastAsia"/>
                <w:color w:val="000000" w:themeColor="text1"/>
                <w:szCs w:val="21"/>
              </w:rPr>
              <w:t>，</w:t>
            </w:r>
            <w:r w:rsidRPr="002B4385">
              <w:rPr>
                <w:rFonts w:hint="eastAsia"/>
                <w:color w:val="000000" w:themeColor="text1"/>
                <w:szCs w:val="21"/>
              </w:rPr>
              <w:t>B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C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D</w:t>
            </w:r>
            <w:r w:rsidRPr="002B4385">
              <w:rPr>
                <w:rFonts w:hint="eastAsia"/>
                <w:color w:val="000000" w:themeColor="text1"/>
                <w:szCs w:val="21"/>
              </w:rPr>
              <w:t>区建筑密度≤</w:t>
            </w:r>
            <w:r w:rsidRPr="002B4385">
              <w:rPr>
                <w:rFonts w:hint="eastAsia"/>
                <w:color w:val="000000" w:themeColor="text1"/>
                <w:szCs w:val="21"/>
              </w:rPr>
              <w:t>35%</w:t>
            </w:r>
            <w:r w:rsidRPr="002B4385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A</w:t>
            </w:r>
            <w:r w:rsidRPr="002B4385">
              <w:rPr>
                <w:rFonts w:hint="eastAsia"/>
                <w:color w:val="000000" w:themeColor="text1"/>
                <w:szCs w:val="21"/>
              </w:rPr>
              <w:t>区为城镇住宅用地兼容批发零售用地、住宿餐饮用地、文体娱乐用地，</w:t>
            </w:r>
            <w:r w:rsidRPr="002B4385">
              <w:rPr>
                <w:rFonts w:hint="eastAsia"/>
                <w:color w:val="000000" w:themeColor="text1"/>
                <w:szCs w:val="21"/>
              </w:rPr>
              <w:t>B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C</w:t>
            </w:r>
            <w:r w:rsidRPr="002B4385">
              <w:rPr>
                <w:rFonts w:hint="eastAsia"/>
                <w:color w:val="000000" w:themeColor="text1"/>
                <w:szCs w:val="21"/>
              </w:rPr>
              <w:t>、</w:t>
            </w:r>
            <w:r w:rsidRPr="002B4385">
              <w:rPr>
                <w:rFonts w:hint="eastAsia"/>
                <w:color w:val="000000" w:themeColor="text1"/>
                <w:szCs w:val="21"/>
              </w:rPr>
              <w:t>D</w:t>
            </w:r>
            <w:r w:rsidRPr="002B4385">
              <w:rPr>
                <w:rFonts w:hint="eastAsia"/>
                <w:color w:val="000000" w:themeColor="text1"/>
                <w:szCs w:val="21"/>
              </w:rPr>
              <w:t>区为商务金融用地兼容批发零售用地、住宿餐饮用地，</w:t>
            </w:r>
            <w:r w:rsidRPr="002B4385">
              <w:rPr>
                <w:rFonts w:hint="eastAsia"/>
                <w:color w:val="000000" w:themeColor="text1"/>
                <w:szCs w:val="21"/>
              </w:rPr>
              <w:t>E</w:t>
            </w:r>
            <w:r w:rsidRPr="002B4385">
              <w:rPr>
                <w:rFonts w:hint="eastAsia"/>
                <w:color w:val="000000" w:themeColor="text1"/>
                <w:szCs w:val="21"/>
              </w:rPr>
              <w:t>区为公园与绿地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2A6" w:rsidRPr="002B4385" w:rsidRDefault="00750324">
            <w:pPr>
              <w:jc w:val="center"/>
              <w:rPr>
                <w:color w:val="000000" w:themeColor="text1"/>
                <w:szCs w:val="21"/>
              </w:rPr>
            </w:pPr>
            <w:r w:rsidRPr="002B4385">
              <w:rPr>
                <w:rFonts w:hint="eastAsia"/>
                <w:color w:val="000000" w:themeColor="text1"/>
                <w:szCs w:val="21"/>
              </w:rPr>
              <w:t>城镇住宅用地</w:t>
            </w:r>
            <w:r w:rsidRPr="002B4385">
              <w:rPr>
                <w:rFonts w:hint="eastAsia"/>
                <w:color w:val="000000" w:themeColor="text1"/>
                <w:szCs w:val="21"/>
              </w:rPr>
              <w:t>70</w:t>
            </w:r>
            <w:r w:rsidRPr="002B4385">
              <w:rPr>
                <w:rFonts w:hint="eastAsia"/>
                <w:color w:val="000000" w:themeColor="text1"/>
                <w:szCs w:val="21"/>
              </w:rPr>
              <w:t>年，商务金融用地、批发零售用地、住宿餐饮用地</w:t>
            </w:r>
            <w:r w:rsidRPr="002B4385">
              <w:rPr>
                <w:rFonts w:hint="eastAsia"/>
                <w:color w:val="000000" w:themeColor="text1"/>
                <w:szCs w:val="21"/>
              </w:rPr>
              <w:t>40</w:t>
            </w:r>
            <w:r w:rsidRPr="002B4385">
              <w:rPr>
                <w:rFonts w:hint="eastAsia"/>
                <w:color w:val="000000" w:themeColor="text1"/>
                <w:szCs w:val="21"/>
              </w:rPr>
              <w:t>年，文体娱乐用地</w:t>
            </w:r>
            <w:r w:rsidRPr="002B4385">
              <w:rPr>
                <w:rFonts w:hint="eastAsia"/>
                <w:color w:val="000000" w:themeColor="text1"/>
                <w:szCs w:val="21"/>
              </w:rPr>
              <w:t>40</w:t>
            </w:r>
            <w:r w:rsidRPr="002B4385">
              <w:rPr>
                <w:rFonts w:hint="eastAsia"/>
                <w:color w:val="000000" w:themeColor="text1"/>
                <w:szCs w:val="21"/>
              </w:rPr>
              <w:t>年，公园与绿地</w:t>
            </w:r>
            <w:r w:rsidRPr="002B4385">
              <w:rPr>
                <w:rFonts w:hint="eastAsia"/>
                <w:color w:val="000000" w:themeColor="text1"/>
                <w:szCs w:val="21"/>
              </w:rPr>
              <w:t>50</w:t>
            </w:r>
            <w:r w:rsidRPr="002B4385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</w:tr>
    </w:tbl>
    <w:p w:rsidR="007162A6" w:rsidRPr="002B4385" w:rsidRDefault="007162A6">
      <w:pPr>
        <w:spacing w:line="360" w:lineRule="auto"/>
        <w:ind w:firstLineChars="196" w:firstLine="472"/>
        <w:rPr>
          <w:b/>
          <w:color w:val="000000" w:themeColor="text1"/>
          <w:kern w:val="0"/>
          <w:sz w:val="24"/>
        </w:rPr>
      </w:pPr>
    </w:p>
    <w:p w:rsidR="007162A6" w:rsidRPr="002B4385" w:rsidRDefault="00750324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kern w:val="0"/>
          <w:sz w:val="24"/>
        </w:rPr>
      </w:pPr>
      <w:r w:rsidRPr="002B4385">
        <w:rPr>
          <w:rFonts w:ascii="宋体" w:hAnsi="宋体"/>
          <w:b/>
          <w:color w:val="000000" w:themeColor="text1"/>
          <w:kern w:val="0"/>
          <w:sz w:val="24"/>
        </w:rPr>
        <w:t>三、本次交易拟签署协议的主要内容</w:t>
      </w:r>
    </w:p>
    <w:p w:rsidR="007162A6" w:rsidRPr="006116F1" w:rsidRDefault="006116F1" w:rsidP="006116F1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公司合并</w:t>
      </w:r>
      <w:r w:rsidRPr="002B4385">
        <w:rPr>
          <w:rFonts w:ascii="宋体" w:hAnsi="宋体" w:hint="eastAsia"/>
          <w:color w:val="000000" w:themeColor="text1"/>
          <w:sz w:val="24"/>
        </w:rPr>
        <w:t>持有6</w:t>
      </w:r>
      <w:r w:rsidRPr="002B4385">
        <w:rPr>
          <w:rFonts w:ascii="宋体" w:hAnsi="宋体"/>
          <w:color w:val="000000" w:themeColor="text1"/>
          <w:sz w:val="24"/>
        </w:rPr>
        <w:t>0%权益的子公司</w:t>
      </w:r>
      <w:r w:rsidRPr="002B4385">
        <w:rPr>
          <w:rFonts w:ascii="宋体" w:hAnsi="宋体" w:hint="eastAsia"/>
          <w:color w:val="000000" w:themeColor="text1"/>
          <w:sz w:val="24"/>
        </w:rPr>
        <w:t>佛山阳光智城</w:t>
      </w:r>
      <w:r w:rsidR="00D33035">
        <w:rPr>
          <w:rFonts w:ascii="宋体" w:hAnsi="宋体" w:hint="eastAsia"/>
          <w:color w:val="000000" w:themeColor="text1"/>
          <w:sz w:val="24"/>
        </w:rPr>
        <w:t>拟接</w:t>
      </w:r>
      <w:bookmarkStart w:id="0" w:name="_GoBack"/>
      <w:bookmarkEnd w:id="0"/>
      <w:r w:rsidRPr="002B4385">
        <w:rPr>
          <w:rFonts w:ascii="宋体" w:hAnsi="宋体" w:hint="eastAsia"/>
          <w:color w:val="000000" w:themeColor="text1"/>
          <w:sz w:val="24"/>
        </w:rPr>
        <w:t>受</w:t>
      </w:r>
      <w:r w:rsidR="006D7A52" w:rsidRPr="002B4385">
        <w:rPr>
          <w:rFonts w:ascii="宋体" w:hAnsi="宋体" w:hint="eastAsia"/>
          <w:color w:val="000000" w:themeColor="text1"/>
          <w:sz w:val="24"/>
        </w:rPr>
        <w:t>华鑫信托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提供5亿元的</w:t>
      </w:r>
      <w:r w:rsidR="00D33035">
        <w:rPr>
          <w:rFonts w:ascii="宋体" w:hAnsi="宋体" w:cs="宋体" w:hint="eastAsia"/>
          <w:color w:val="000000" w:themeColor="text1"/>
          <w:kern w:val="0"/>
          <w:sz w:val="24"/>
        </w:rPr>
        <w:t>贷款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="00D33035" w:rsidRPr="00B11235">
        <w:rPr>
          <w:rFonts w:ascii="宋体" w:cs="宋体" w:hint="eastAsia"/>
          <w:kern w:val="0"/>
          <w:sz w:val="24"/>
        </w:rPr>
        <w:t>现对该笔贷款</w:t>
      </w:r>
      <w:r w:rsidR="00D33035">
        <w:rPr>
          <w:rFonts w:ascii="宋体" w:cs="宋体" w:hint="eastAsia"/>
          <w:kern w:val="0"/>
          <w:sz w:val="24"/>
        </w:rPr>
        <w:t>委托方</w:t>
      </w:r>
      <w:r w:rsidR="00D33035" w:rsidRPr="00B11235">
        <w:rPr>
          <w:rFonts w:ascii="宋体" w:cs="宋体" w:hint="eastAsia"/>
          <w:kern w:val="0"/>
          <w:sz w:val="24"/>
        </w:rPr>
        <w:t>进行调整如下：</w:t>
      </w:r>
      <w:r w:rsidR="00D33035">
        <w:rPr>
          <w:rFonts w:ascii="宋体" w:cs="宋体" w:hint="eastAsia"/>
          <w:kern w:val="0"/>
          <w:sz w:val="24"/>
        </w:rPr>
        <w:t>将委托方</w:t>
      </w:r>
      <w:r w:rsidR="00D33035" w:rsidRPr="002B4385">
        <w:rPr>
          <w:rFonts w:ascii="宋体" w:hAnsi="宋体" w:hint="eastAsia"/>
          <w:color w:val="000000" w:themeColor="text1"/>
          <w:sz w:val="24"/>
        </w:rPr>
        <w:t>华鑫信托</w:t>
      </w:r>
      <w:r w:rsidR="00D33035">
        <w:rPr>
          <w:rFonts w:ascii="宋体" w:hAnsi="宋体" w:hint="eastAsia"/>
          <w:color w:val="000000" w:themeColor="text1"/>
          <w:sz w:val="24"/>
        </w:rPr>
        <w:t>变更为</w:t>
      </w:r>
      <w:r w:rsidR="00D33035" w:rsidRPr="002B4385">
        <w:rPr>
          <w:rFonts w:ascii="宋体" w:hAnsi="宋体" w:cs="宋体" w:hint="eastAsia"/>
          <w:color w:val="000000" w:themeColor="text1"/>
          <w:kern w:val="0"/>
          <w:sz w:val="24"/>
        </w:rPr>
        <w:t>陕西</w:t>
      </w:r>
      <w:r w:rsidR="00D33035" w:rsidRPr="002B4385">
        <w:rPr>
          <w:rFonts w:ascii="宋体" w:hAnsi="宋体" w:hint="eastAsia"/>
          <w:color w:val="000000" w:themeColor="text1"/>
          <w:sz w:val="24"/>
        </w:rPr>
        <w:t>国际</w:t>
      </w:r>
      <w:r w:rsidR="00D33035" w:rsidRPr="002B4385">
        <w:rPr>
          <w:rFonts w:ascii="宋体" w:hAnsi="宋体" w:cs="宋体" w:hint="eastAsia"/>
          <w:color w:val="000000" w:themeColor="text1"/>
          <w:kern w:val="0"/>
          <w:sz w:val="24"/>
        </w:rPr>
        <w:t>信托</w:t>
      </w:r>
      <w:r w:rsidR="00D33035">
        <w:rPr>
          <w:rFonts w:ascii="宋体" w:hAnsi="宋体" w:cs="宋体" w:hint="eastAsia"/>
          <w:color w:val="000000" w:themeColor="text1"/>
          <w:kern w:val="0"/>
          <w:sz w:val="24"/>
        </w:rPr>
        <w:t>，</w:t>
      </w:r>
      <w:r w:rsidRPr="002B4385">
        <w:rPr>
          <w:rFonts w:ascii="宋体" w:hAnsi="宋体" w:cs="宋体" w:hint="eastAsia"/>
          <w:color w:val="000000" w:themeColor="text1"/>
          <w:kern w:val="0"/>
          <w:sz w:val="24"/>
        </w:rPr>
        <w:t>期限、担保方等其他交易要素均不变。</w:t>
      </w:r>
    </w:p>
    <w:p w:rsidR="007162A6" w:rsidRPr="002B4385" w:rsidRDefault="0075032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保证范围为主合同项下的主债权本金、利息(含罚息、复利)、违约金、损害赔偿金、债权人实现债权的费用等。</w:t>
      </w:r>
    </w:p>
    <w:p w:rsidR="007162A6" w:rsidRPr="002B4385" w:rsidRDefault="00750324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具体条款以各方签署合同为准。</w:t>
      </w:r>
    </w:p>
    <w:p w:rsidR="007162A6" w:rsidRPr="002B4385" w:rsidRDefault="007162A6">
      <w:pPr>
        <w:spacing w:line="360" w:lineRule="auto"/>
        <w:ind w:firstLineChars="200" w:firstLine="480"/>
        <w:rPr>
          <w:rStyle w:val="da"/>
          <w:rFonts w:ascii="宋体" w:hAnsi="宋体"/>
          <w:color w:val="000000" w:themeColor="text1"/>
          <w:sz w:val="24"/>
        </w:rPr>
      </w:pPr>
    </w:p>
    <w:p w:rsidR="007162A6" w:rsidRPr="002B4385" w:rsidRDefault="00750324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2B4385">
        <w:rPr>
          <w:rFonts w:ascii="宋体" w:hAnsi="宋体" w:hint="eastAsia"/>
          <w:b/>
          <w:color w:val="000000" w:themeColor="text1"/>
          <w:sz w:val="24"/>
        </w:rPr>
        <w:t>四、董事会意见</w:t>
      </w:r>
    </w:p>
    <w:p w:rsidR="007162A6" w:rsidRPr="002B4385" w:rsidRDefault="00750324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lastRenderedPageBreak/>
        <w:t>本次交易</w:t>
      </w:r>
      <w:r w:rsidRPr="002B4385">
        <w:rPr>
          <w:rFonts w:ascii="宋体" w:hAnsi="宋体"/>
          <w:color w:val="000000" w:themeColor="text1"/>
          <w:sz w:val="24"/>
        </w:rPr>
        <w:t>有利于</w:t>
      </w:r>
      <w:r w:rsidRPr="002B4385">
        <w:rPr>
          <w:rFonts w:ascii="宋体" w:hAnsi="宋体" w:hint="eastAsia"/>
          <w:color w:val="000000" w:themeColor="text1"/>
          <w:sz w:val="24"/>
        </w:rPr>
        <w:t>佛山阳光智城</w:t>
      </w:r>
      <w:r w:rsidRPr="002B4385">
        <w:rPr>
          <w:rFonts w:ascii="宋体" w:hAnsi="宋体"/>
          <w:color w:val="000000" w:themeColor="text1"/>
          <w:sz w:val="24"/>
        </w:rPr>
        <w:t>的长远发展</w:t>
      </w:r>
      <w:r w:rsidRPr="002B4385">
        <w:rPr>
          <w:rFonts w:ascii="宋体" w:hAnsi="宋体" w:hint="eastAsia"/>
          <w:color w:val="000000" w:themeColor="text1"/>
          <w:sz w:val="24"/>
        </w:rPr>
        <w:t>，</w:t>
      </w:r>
      <w:r w:rsidRPr="002B4385">
        <w:rPr>
          <w:rFonts w:ascii="宋体" w:hAnsi="宋体"/>
          <w:color w:val="000000" w:themeColor="text1"/>
          <w:sz w:val="24"/>
        </w:rPr>
        <w:t>有助于公司后续的资金使用规划，有利于更好地支持公司业务拓展，符合公司长远战略规划</w:t>
      </w:r>
      <w:r w:rsidRPr="002B4385">
        <w:rPr>
          <w:rFonts w:ascii="宋体" w:hAnsi="宋体" w:hint="eastAsia"/>
          <w:color w:val="000000" w:themeColor="text1"/>
          <w:sz w:val="24"/>
        </w:rPr>
        <w:t>。</w:t>
      </w:r>
      <w:r w:rsidRPr="002B4385">
        <w:rPr>
          <w:rFonts w:ascii="宋体" w:hAnsi="宋体"/>
          <w:color w:val="000000" w:themeColor="text1"/>
          <w:sz w:val="24"/>
        </w:rPr>
        <w:t>申请贷款所需的股权质押不会对公司的生产经营产生影响。</w:t>
      </w:r>
      <w:r w:rsidRPr="002B4385">
        <w:rPr>
          <w:rFonts w:ascii="宋体" w:hAnsi="宋体" w:hint="eastAsia"/>
          <w:color w:val="000000" w:themeColor="text1"/>
          <w:sz w:val="24"/>
        </w:rPr>
        <w:t>在本次担保期内公司有能力对其经营管理风险进行控制，并直接分享其经营成果。</w:t>
      </w:r>
    </w:p>
    <w:p w:rsidR="007162A6" w:rsidRPr="002B4385" w:rsidRDefault="00750324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 w:hint="eastAsia"/>
          <w:color w:val="000000" w:themeColor="text1"/>
          <w:sz w:val="24"/>
        </w:rPr>
        <w:t>公司董事会认为：本次交易对公司及全体股东公平、合理，不会损害公司及中小股东利益。</w:t>
      </w:r>
    </w:p>
    <w:p w:rsidR="007162A6" w:rsidRPr="002B4385" w:rsidRDefault="007162A6">
      <w:pPr>
        <w:spacing w:line="360" w:lineRule="auto"/>
        <w:ind w:firstLineChars="200" w:firstLine="480"/>
        <w:rPr>
          <w:rFonts w:ascii="宋体" w:hAnsi="宋体"/>
          <w:color w:val="000000" w:themeColor="text1"/>
          <w:sz w:val="24"/>
        </w:rPr>
      </w:pPr>
    </w:p>
    <w:p w:rsidR="007162A6" w:rsidRPr="002B4385" w:rsidRDefault="00750324">
      <w:pPr>
        <w:spacing w:line="360" w:lineRule="auto"/>
        <w:ind w:firstLineChars="196" w:firstLine="472"/>
        <w:rPr>
          <w:rFonts w:ascii="宋体" w:hAnsi="宋体"/>
          <w:b/>
          <w:color w:val="000000" w:themeColor="text1"/>
          <w:sz w:val="24"/>
        </w:rPr>
      </w:pPr>
      <w:r w:rsidRPr="002B4385">
        <w:rPr>
          <w:rFonts w:ascii="宋体" w:hAnsi="宋体" w:hint="eastAsia"/>
          <w:b/>
          <w:color w:val="000000" w:themeColor="text1"/>
          <w:sz w:val="24"/>
        </w:rPr>
        <w:t>五、累计对外担保金额及逾期担保的金额</w:t>
      </w:r>
    </w:p>
    <w:p w:rsidR="00144A7D" w:rsidRPr="002B4385" w:rsidRDefault="00144A7D" w:rsidP="00144A7D">
      <w:pPr>
        <w:spacing w:line="360" w:lineRule="auto"/>
        <w:ind w:firstLineChars="196" w:firstLine="470"/>
        <w:rPr>
          <w:rFonts w:ascii="宋体" w:hAnsi="宋体"/>
          <w:color w:val="000000" w:themeColor="text1"/>
          <w:sz w:val="24"/>
        </w:rPr>
      </w:pPr>
      <w:r w:rsidRPr="002B4385">
        <w:rPr>
          <w:rFonts w:ascii="宋体" w:hAnsi="宋体"/>
          <w:color w:val="000000" w:themeColor="text1"/>
          <w:sz w:val="24"/>
        </w:rPr>
        <w:t>截至本公告</w:t>
      </w:r>
      <w:r w:rsidRPr="002B4385">
        <w:rPr>
          <w:rFonts w:ascii="宋体" w:hAnsi="宋体" w:hint="eastAsia"/>
          <w:color w:val="000000" w:themeColor="text1"/>
          <w:sz w:val="24"/>
        </w:rPr>
        <w:t>披露</w:t>
      </w:r>
      <w:r w:rsidRPr="002B4385">
        <w:rPr>
          <w:rFonts w:ascii="宋体" w:hAnsi="宋体"/>
          <w:color w:val="000000" w:themeColor="text1"/>
          <w:sz w:val="24"/>
        </w:rPr>
        <w:t>日，包含公司第九届董事局第</w:t>
      </w:r>
      <w:r w:rsidRPr="002B4385">
        <w:rPr>
          <w:rFonts w:ascii="宋体" w:hAnsi="宋体" w:hint="eastAsia"/>
          <w:color w:val="000000" w:themeColor="text1"/>
          <w:sz w:val="24"/>
        </w:rPr>
        <w:t>二十三</w:t>
      </w:r>
      <w:r w:rsidRPr="002B4385">
        <w:rPr>
          <w:rFonts w:ascii="宋体" w:hAnsi="宋体"/>
          <w:color w:val="000000" w:themeColor="text1"/>
          <w:sz w:val="24"/>
        </w:rPr>
        <w:t>次会议审议通过的担保事项，公司累计对外担保额度</w:t>
      </w:r>
      <w:r w:rsidR="00F104EF">
        <w:rPr>
          <w:rFonts w:ascii="宋体" w:hAnsi="宋体" w:hint="eastAsia"/>
          <w:color w:val="000000" w:themeColor="text1"/>
          <w:sz w:val="24"/>
        </w:rPr>
        <w:t>1367.73</w:t>
      </w:r>
      <w:r w:rsidRPr="002B4385">
        <w:rPr>
          <w:rFonts w:ascii="宋体" w:hAnsi="宋体"/>
          <w:color w:val="000000" w:themeColor="text1"/>
          <w:sz w:val="24"/>
        </w:rPr>
        <w:t>亿元，除为公司为全资及控股子公司提供的担保额度外，公司对外担保金额</w:t>
      </w:r>
      <w:r w:rsidRPr="002B4385">
        <w:rPr>
          <w:rFonts w:ascii="宋体" w:hAnsi="宋体" w:cs="宋体" w:hint="eastAsia"/>
          <w:color w:val="000000" w:themeColor="text1"/>
          <w:sz w:val="24"/>
        </w:rPr>
        <w:t>57.07</w:t>
      </w:r>
      <w:r w:rsidRPr="002B4385">
        <w:rPr>
          <w:rFonts w:ascii="宋体" w:hAnsi="宋体"/>
          <w:color w:val="000000" w:themeColor="text1"/>
          <w:sz w:val="24"/>
        </w:rPr>
        <w:t>亿元，公司及控股子公司不存在逾期担保、涉及诉讼担保的情况。</w:t>
      </w:r>
    </w:p>
    <w:p w:rsidR="007162A6" w:rsidRPr="002B4385" w:rsidRDefault="007162A6">
      <w:pPr>
        <w:spacing w:line="360" w:lineRule="auto"/>
        <w:ind w:firstLineChars="196" w:firstLine="470"/>
        <w:rPr>
          <w:rFonts w:ascii="宋体" w:hAnsi="宋体"/>
          <w:color w:val="000000"/>
          <w:sz w:val="24"/>
        </w:rPr>
      </w:pPr>
    </w:p>
    <w:p w:rsidR="007162A6" w:rsidRPr="002B4385" w:rsidRDefault="00750324">
      <w:pPr>
        <w:spacing w:line="360" w:lineRule="auto"/>
        <w:ind w:firstLineChars="200" w:firstLine="482"/>
        <w:rPr>
          <w:rFonts w:ascii="宋体" w:hAnsi="宋体"/>
          <w:b/>
          <w:color w:val="000000"/>
          <w:sz w:val="24"/>
        </w:rPr>
      </w:pPr>
      <w:r w:rsidRPr="002B4385">
        <w:rPr>
          <w:rFonts w:ascii="宋体" w:hAnsi="宋体" w:hint="eastAsia"/>
          <w:b/>
          <w:color w:val="000000"/>
          <w:sz w:val="24"/>
        </w:rPr>
        <w:t>六、备查文件</w:t>
      </w:r>
    </w:p>
    <w:p w:rsidR="007162A6" w:rsidRPr="002B4385" w:rsidRDefault="00750324">
      <w:pPr>
        <w:spacing w:line="360" w:lineRule="auto"/>
        <w:ind w:firstLineChars="200" w:firstLine="480"/>
        <w:rPr>
          <w:rFonts w:ascii="宋体" w:hAnsi="宋体"/>
          <w:b/>
          <w:color w:val="000000"/>
          <w:sz w:val="24"/>
        </w:rPr>
      </w:pPr>
      <w:r w:rsidRPr="002B4385">
        <w:rPr>
          <w:rFonts w:ascii="宋体" w:hAnsi="宋体" w:hint="eastAsia"/>
          <w:color w:val="000000"/>
          <w:sz w:val="24"/>
        </w:rPr>
        <w:t>（一）公司第九届董事局第二十三次会议决议；</w:t>
      </w:r>
    </w:p>
    <w:p w:rsidR="007162A6" w:rsidRDefault="0075032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 w:rsidRPr="002B4385">
        <w:rPr>
          <w:rFonts w:ascii="宋体" w:hAnsi="宋体" w:hint="eastAsia"/>
          <w:color w:val="000000"/>
          <w:sz w:val="24"/>
        </w:rPr>
        <w:t>（二）公司本次交易</w:t>
      </w:r>
      <w:r w:rsidRPr="002B4385">
        <w:rPr>
          <w:rFonts w:ascii="宋体" w:hAnsi="宋体"/>
          <w:color w:val="000000"/>
          <w:sz w:val="24"/>
        </w:rPr>
        <w:t>的</w:t>
      </w:r>
      <w:r w:rsidRPr="002B4385">
        <w:rPr>
          <w:rFonts w:ascii="宋体" w:hAnsi="宋体" w:hint="eastAsia"/>
          <w:color w:val="000000"/>
          <w:sz w:val="24"/>
        </w:rPr>
        <w:t>相关</w:t>
      </w:r>
      <w:r w:rsidRPr="002B4385">
        <w:rPr>
          <w:rFonts w:ascii="宋体" w:hAnsi="宋体"/>
          <w:color w:val="000000"/>
          <w:sz w:val="24"/>
        </w:rPr>
        <w:t>协议</w:t>
      </w:r>
      <w:r w:rsidRPr="002B4385">
        <w:rPr>
          <w:rFonts w:ascii="宋体" w:hAnsi="宋体" w:hint="eastAsia"/>
          <w:color w:val="000000"/>
          <w:sz w:val="24"/>
        </w:rPr>
        <w:t>草案。</w:t>
      </w:r>
    </w:p>
    <w:p w:rsidR="007162A6" w:rsidRDefault="007162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7162A6" w:rsidRDefault="00750324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特此公告。</w:t>
      </w:r>
    </w:p>
    <w:p w:rsidR="007162A6" w:rsidRDefault="007162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7162A6" w:rsidRDefault="007162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7162A6" w:rsidRDefault="007162A6">
      <w:pPr>
        <w:spacing w:line="360" w:lineRule="auto"/>
        <w:ind w:firstLineChars="200" w:firstLine="480"/>
        <w:rPr>
          <w:rFonts w:ascii="宋体" w:hAnsi="宋体"/>
          <w:color w:val="000000"/>
          <w:sz w:val="24"/>
        </w:rPr>
      </w:pPr>
    </w:p>
    <w:p w:rsidR="007162A6" w:rsidRDefault="00750324">
      <w:pPr>
        <w:widowControl/>
        <w:spacing w:line="360" w:lineRule="auto"/>
        <w:ind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阳光城集团股份有限公司</w:t>
      </w:r>
    </w:p>
    <w:p w:rsidR="007162A6" w:rsidRDefault="00750324">
      <w:pPr>
        <w:widowControl/>
        <w:spacing w:line="360" w:lineRule="auto"/>
        <w:ind w:right="964" w:firstLineChars="200" w:firstLine="482"/>
        <w:jc w:val="right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董事会</w:t>
      </w:r>
    </w:p>
    <w:p w:rsidR="007162A6" w:rsidRDefault="00750324">
      <w:pPr>
        <w:spacing w:line="360" w:lineRule="auto"/>
        <w:jc w:val="right"/>
        <w:rPr>
          <w:rFonts w:ascii="宋体" w:hAnsi="宋体"/>
        </w:rPr>
      </w:pPr>
      <w:r>
        <w:rPr>
          <w:rFonts w:ascii="宋体" w:hAnsi="宋体" w:hint="eastAsia"/>
          <w:b/>
          <w:color w:val="000000"/>
          <w:sz w:val="24"/>
        </w:rPr>
        <w:t>二○一七年十一月二十三日</w:t>
      </w:r>
    </w:p>
    <w:p w:rsidR="007162A6" w:rsidRDefault="007162A6">
      <w:pPr>
        <w:spacing w:line="360" w:lineRule="auto"/>
        <w:ind w:firstLineChars="200" w:firstLine="420"/>
        <w:rPr>
          <w:rStyle w:val="da"/>
          <w:rFonts w:eastAsia="楷体_GB2312"/>
          <w:color w:val="000000" w:themeColor="text1"/>
          <w:kern w:val="0"/>
          <w:szCs w:val="21"/>
        </w:rPr>
      </w:pPr>
    </w:p>
    <w:p w:rsidR="007162A6" w:rsidRDefault="007162A6"/>
    <w:p w:rsidR="007162A6" w:rsidRDefault="007162A6"/>
    <w:sectPr w:rsidR="007162A6" w:rsidSect="00090F71">
      <w:footerReference w:type="default" r:id="rId8"/>
      <w:pgSz w:w="11906" w:h="16838"/>
      <w:pgMar w:top="1361" w:right="1588" w:bottom="1361" w:left="1588" w:header="851" w:footer="85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D98" w:rsidRDefault="00066D98">
      <w:r>
        <w:separator/>
      </w:r>
    </w:p>
  </w:endnote>
  <w:endnote w:type="continuationSeparator" w:id="1">
    <w:p w:rsidR="00066D98" w:rsidRDefault="00066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65171"/>
      <w:docPartObj>
        <w:docPartGallery w:val="AutoText"/>
      </w:docPartObj>
    </w:sdtPr>
    <w:sdtContent>
      <w:p w:rsidR="007162A6" w:rsidRDefault="00B03F2C">
        <w:pPr>
          <w:pStyle w:val="a3"/>
          <w:jc w:val="center"/>
        </w:pPr>
        <w:r w:rsidRPr="00B03F2C">
          <w:fldChar w:fldCharType="begin"/>
        </w:r>
        <w:r w:rsidR="00750324">
          <w:instrText xml:space="preserve"> PAGE   \* MERGEFORMAT </w:instrText>
        </w:r>
        <w:r w:rsidRPr="00B03F2C">
          <w:fldChar w:fldCharType="separate"/>
        </w:r>
        <w:r w:rsidR="00CD2D7B" w:rsidRPr="00CD2D7B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7162A6" w:rsidRDefault="007162A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D98" w:rsidRDefault="00066D98">
      <w:r>
        <w:separator/>
      </w:r>
    </w:p>
  </w:footnote>
  <w:footnote w:type="continuationSeparator" w:id="1">
    <w:p w:rsidR="00066D98" w:rsidRDefault="00066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0ACF"/>
    <w:rsid w:val="00002013"/>
    <w:rsid w:val="00066D98"/>
    <w:rsid w:val="00090F71"/>
    <w:rsid w:val="000A3558"/>
    <w:rsid w:val="000F1256"/>
    <w:rsid w:val="00135045"/>
    <w:rsid w:val="00144A7D"/>
    <w:rsid w:val="001535BE"/>
    <w:rsid w:val="00163540"/>
    <w:rsid w:val="00164338"/>
    <w:rsid w:val="001648C6"/>
    <w:rsid w:val="00166667"/>
    <w:rsid w:val="001B721B"/>
    <w:rsid w:val="001C21E0"/>
    <w:rsid w:val="002124E1"/>
    <w:rsid w:val="00250BD8"/>
    <w:rsid w:val="00256C4E"/>
    <w:rsid w:val="00266884"/>
    <w:rsid w:val="00267E88"/>
    <w:rsid w:val="002704EA"/>
    <w:rsid w:val="00273EC6"/>
    <w:rsid w:val="002B2EE7"/>
    <w:rsid w:val="002B4385"/>
    <w:rsid w:val="0030617B"/>
    <w:rsid w:val="0035643F"/>
    <w:rsid w:val="0039259A"/>
    <w:rsid w:val="003E15ED"/>
    <w:rsid w:val="004009EE"/>
    <w:rsid w:val="004363FD"/>
    <w:rsid w:val="0044772A"/>
    <w:rsid w:val="00484A72"/>
    <w:rsid w:val="004B61F8"/>
    <w:rsid w:val="00511668"/>
    <w:rsid w:val="00517BAA"/>
    <w:rsid w:val="00532667"/>
    <w:rsid w:val="00592ED0"/>
    <w:rsid w:val="005A1179"/>
    <w:rsid w:val="00600494"/>
    <w:rsid w:val="006116F1"/>
    <w:rsid w:val="00656270"/>
    <w:rsid w:val="0065732A"/>
    <w:rsid w:val="006B0D96"/>
    <w:rsid w:val="006C1DEB"/>
    <w:rsid w:val="006D7A52"/>
    <w:rsid w:val="006E02B8"/>
    <w:rsid w:val="006E2D7E"/>
    <w:rsid w:val="00702006"/>
    <w:rsid w:val="00706078"/>
    <w:rsid w:val="007162A6"/>
    <w:rsid w:val="00750324"/>
    <w:rsid w:val="0075326A"/>
    <w:rsid w:val="007813FB"/>
    <w:rsid w:val="007C42B0"/>
    <w:rsid w:val="008127A4"/>
    <w:rsid w:val="00890C07"/>
    <w:rsid w:val="009642EE"/>
    <w:rsid w:val="009912B0"/>
    <w:rsid w:val="00A10709"/>
    <w:rsid w:val="00A41E90"/>
    <w:rsid w:val="00A674DC"/>
    <w:rsid w:val="00A771ED"/>
    <w:rsid w:val="00AB0ACF"/>
    <w:rsid w:val="00AD4DF9"/>
    <w:rsid w:val="00B03F2C"/>
    <w:rsid w:val="00B06802"/>
    <w:rsid w:val="00B945CE"/>
    <w:rsid w:val="00BA2FB2"/>
    <w:rsid w:val="00BF0001"/>
    <w:rsid w:val="00C30F99"/>
    <w:rsid w:val="00C62282"/>
    <w:rsid w:val="00C82F84"/>
    <w:rsid w:val="00C913D4"/>
    <w:rsid w:val="00CD1C30"/>
    <w:rsid w:val="00CD2D7B"/>
    <w:rsid w:val="00CD3C41"/>
    <w:rsid w:val="00CD5636"/>
    <w:rsid w:val="00D24E39"/>
    <w:rsid w:val="00D33035"/>
    <w:rsid w:val="00D50182"/>
    <w:rsid w:val="00E2008B"/>
    <w:rsid w:val="00E3186E"/>
    <w:rsid w:val="00E7077E"/>
    <w:rsid w:val="00EB412F"/>
    <w:rsid w:val="00EB6E41"/>
    <w:rsid w:val="00EF5002"/>
    <w:rsid w:val="00F104EF"/>
    <w:rsid w:val="00F146FA"/>
    <w:rsid w:val="00F36178"/>
    <w:rsid w:val="00F631CB"/>
    <w:rsid w:val="00FC4423"/>
    <w:rsid w:val="00FD28F2"/>
    <w:rsid w:val="4051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F71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090F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090F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da">
    <w:name w:val="da"/>
    <w:basedOn w:val="a0"/>
    <w:qFormat/>
    <w:rsid w:val="00090F71"/>
  </w:style>
  <w:style w:type="character" w:customStyle="1" w:styleId="Char">
    <w:name w:val="页脚 Char"/>
    <w:basedOn w:val="a0"/>
    <w:link w:val="a3"/>
    <w:uiPriority w:val="99"/>
    <w:qFormat/>
    <w:rsid w:val="00090F71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090F7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00C368D2-DD7B-4A8E-BD2B-05671B60836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徐皎</dc:creator>
  <cp:lastModifiedBy>Windows User</cp:lastModifiedBy>
  <cp:revision>26</cp:revision>
  <dcterms:created xsi:type="dcterms:W3CDTF">2017-09-24T11:28:00Z</dcterms:created>
  <dcterms:modified xsi:type="dcterms:W3CDTF">2017-11-22T10:21:00Z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